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jc w:val="right"/>
        <w:tblInd w:w="6044" w:type="dxa"/>
        <w:tblLook w:val="04A0" w:firstRow="1" w:lastRow="0" w:firstColumn="1" w:lastColumn="0" w:noHBand="0" w:noVBand="1"/>
      </w:tblPr>
      <w:tblGrid>
        <w:gridCol w:w="2658"/>
      </w:tblGrid>
      <w:tr w:rsidR="00120942" w:rsidTr="00E7039B">
        <w:trPr>
          <w:jc w:val="right"/>
        </w:trPr>
        <w:tc>
          <w:tcPr>
            <w:tcW w:w="2658" w:type="dxa"/>
            <w:vAlign w:val="center"/>
          </w:tcPr>
          <w:p w:rsidR="00120942" w:rsidRDefault="00E7039B" w:rsidP="00E7039B">
            <w:pPr>
              <w:jc w:val="center"/>
              <w:rPr>
                <w:sz w:val="24"/>
                <w:szCs w:val="24"/>
              </w:rPr>
            </w:pPr>
            <w:r w:rsidRPr="00585CDA">
              <w:rPr>
                <w:rFonts w:hint="eastAsia"/>
                <w:spacing w:val="15"/>
                <w:kern w:val="0"/>
                <w:sz w:val="24"/>
                <w:szCs w:val="24"/>
                <w:fitText w:val="2160" w:id="879449088"/>
              </w:rPr>
              <w:t>地域振興会議</w:t>
            </w:r>
            <w:r w:rsidR="00120942" w:rsidRPr="00585CDA">
              <w:rPr>
                <w:rFonts w:hint="eastAsia"/>
                <w:spacing w:val="15"/>
                <w:kern w:val="0"/>
                <w:sz w:val="24"/>
                <w:szCs w:val="24"/>
                <w:fitText w:val="2160" w:id="879449088"/>
              </w:rPr>
              <w:t>資料</w:t>
            </w:r>
          </w:p>
        </w:tc>
      </w:tr>
      <w:tr w:rsidR="00120942" w:rsidTr="00E7039B">
        <w:trPr>
          <w:jc w:val="right"/>
        </w:trPr>
        <w:tc>
          <w:tcPr>
            <w:tcW w:w="2658" w:type="dxa"/>
            <w:vAlign w:val="center"/>
          </w:tcPr>
          <w:p w:rsidR="00120942" w:rsidRDefault="00120942" w:rsidP="00E7039B">
            <w:pPr>
              <w:jc w:val="center"/>
              <w:rPr>
                <w:sz w:val="24"/>
                <w:szCs w:val="24"/>
              </w:rPr>
            </w:pPr>
            <w:r>
              <w:rPr>
                <w:rFonts w:hint="eastAsia"/>
                <w:sz w:val="24"/>
                <w:szCs w:val="24"/>
              </w:rPr>
              <w:t>平成</w:t>
            </w:r>
            <w:r>
              <w:rPr>
                <w:rFonts w:hint="eastAsia"/>
                <w:sz w:val="24"/>
                <w:szCs w:val="24"/>
              </w:rPr>
              <w:t>27</w:t>
            </w:r>
            <w:r>
              <w:rPr>
                <w:rFonts w:hint="eastAsia"/>
                <w:sz w:val="24"/>
                <w:szCs w:val="24"/>
              </w:rPr>
              <w:t>年</w:t>
            </w:r>
            <w:r w:rsidR="00E7039B">
              <w:rPr>
                <w:rFonts w:hint="eastAsia"/>
                <w:sz w:val="24"/>
                <w:szCs w:val="24"/>
              </w:rPr>
              <w:t>4</w:t>
            </w:r>
            <w:r>
              <w:rPr>
                <w:rFonts w:hint="eastAsia"/>
                <w:sz w:val="24"/>
                <w:szCs w:val="24"/>
              </w:rPr>
              <w:t>月</w:t>
            </w:r>
            <w:r w:rsidR="00581CDF">
              <w:rPr>
                <w:rFonts w:hint="eastAsia"/>
                <w:sz w:val="24"/>
                <w:szCs w:val="24"/>
              </w:rPr>
              <w:t>24</w:t>
            </w:r>
            <w:bookmarkStart w:id="0" w:name="_GoBack"/>
            <w:bookmarkEnd w:id="0"/>
            <w:r>
              <w:rPr>
                <w:rFonts w:hint="eastAsia"/>
                <w:sz w:val="24"/>
                <w:szCs w:val="24"/>
              </w:rPr>
              <w:t>日</w:t>
            </w:r>
          </w:p>
        </w:tc>
      </w:tr>
      <w:tr w:rsidR="00120942" w:rsidTr="00E7039B">
        <w:trPr>
          <w:jc w:val="right"/>
        </w:trPr>
        <w:tc>
          <w:tcPr>
            <w:tcW w:w="2658" w:type="dxa"/>
            <w:vAlign w:val="center"/>
          </w:tcPr>
          <w:p w:rsidR="00F10DD2" w:rsidRPr="00E7039B" w:rsidRDefault="00120942" w:rsidP="00E7039B">
            <w:pPr>
              <w:jc w:val="center"/>
              <w:rPr>
                <w:kern w:val="0"/>
                <w:sz w:val="24"/>
                <w:szCs w:val="24"/>
              </w:rPr>
            </w:pPr>
            <w:r w:rsidRPr="00E7039B">
              <w:rPr>
                <w:rFonts w:hint="eastAsia"/>
                <w:spacing w:val="120"/>
                <w:kern w:val="0"/>
                <w:sz w:val="24"/>
                <w:szCs w:val="24"/>
                <w:fitText w:val="2160" w:id="879449089"/>
              </w:rPr>
              <w:t>財産経営</w:t>
            </w:r>
            <w:r w:rsidRPr="00E7039B">
              <w:rPr>
                <w:rFonts w:hint="eastAsia"/>
                <w:kern w:val="0"/>
                <w:sz w:val="24"/>
                <w:szCs w:val="24"/>
                <w:fitText w:val="2160" w:id="879449089"/>
              </w:rPr>
              <w:t>課</w:t>
            </w:r>
          </w:p>
        </w:tc>
      </w:tr>
    </w:tbl>
    <w:p w:rsidR="00120942" w:rsidRDefault="00120942" w:rsidP="009342CA">
      <w:pPr>
        <w:jc w:val="right"/>
        <w:rPr>
          <w:sz w:val="24"/>
          <w:szCs w:val="24"/>
        </w:rPr>
      </w:pPr>
    </w:p>
    <w:p w:rsidR="008C699F" w:rsidRDefault="0013314E" w:rsidP="00A45C19">
      <w:pPr>
        <w:jc w:val="center"/>
        <w:rPr>
          <w:sz w:val="24"/>
          <w:szCs w:val="24"/>
        </w:rPr>
      </w:pPr>
      <w:r>
        <w:rPr>
          <w:rFonts w:hint="eastAsia"/>
          <w:sz w:val="24"/>
          <w:szCs w:val="24"/>
        </w:rPr>
        <w:t>総合支所整備（耐震</w:t>
      </w:r>
      <w:r w:rsidR="008579A2">
        <w:rPr>
          <w:rFonts w:hint="eastAsia"/>
          <w:sz w:val="24"/>
          <w:szCs w:val="24"/>
        </w:rPr>
        <w:t>化</w:t>
      </w:r>
      <w:r w:rsidR="00B81C24">
        <w:rPr>
          <w:rFonts w:hint="eastAsia"/>
          <w:sz w:val="24"/>
          <w:szCs w:val="24"/>
        </w:rPr>
        <w:t>）の</w:t>
      </w:r>
      <w:r w:rsidR="00441C93">
        <w:rPr>
          <w:rFonts w:hint="eastAsia"/>
          <w:sz w:val="24"/>
          <w:szCs w:val="24"/>
        </w:rPr>
        <w:t>推進について</w:t>
      </w:r>
    </w:p>
    <w:p w:rsidR="0013314E" w:rsidRDefault="0013314E">
      <w:pPr>
        <w:rPr>
          <w:sz w:val="24"/>
          <w:szCs w:val="24"/>
        </w:rPr>
      </w:pPr>
    </w:p>
    <w:p w:rsidR="00F10DD2" w:rsidRDefault="0013314E" w:rsidP="00F10DD2">
      <w:pPr>
        <w:rPr>
          <w:sz w:val="24"/>
          <w:szCs w:val="24"/>
        </w:rPr>
      </w:pPr>
      <w:r>
        <w:rPr>
          <w:rFonts w:hint="eastAsia"/>
          <w:sz w:val="24"/>
          <w:szCs w:val="24"/>
        </w:rPr>
        <w:t xml:space="preserve">　</w:t>
      </w:r>
      <w:r w:rsidR="00F10DD2">
        <w:rPr>
          <w:rFonts w:hint="eastAsia"/>
          <w:sz w:val="24"/>
          <w:szCs w:val="24"/>
        </w:rPr>
        <w:t>「鳥取市新市域振興ビジョン」において、総合支所は防災の拠点として、また、まちづくりや市民サービスの拠点として住民の利便性なども踏まえ必要な整備を進めて行くことが重要と位置付けられています。</w:t>
      </w:r>
    </w:p>
    <w:p w:rsidR="0013314E" w:rsidRDefault="00F10DD2" w:rsidP="00F10DD2">
      <w:pPr>
        <w:rPr>
          <w:sz w:val="24"/>
          <w:szCs w:val="24"/>
        </w:rPr>
      </w:pPr>
      <w:r>
        <w:rPr>
          <w:rFonts w:hint="eastAsia"/>
          <w:sz w:val="24"/>
          <w:szCs w:val="24"/>
        </w:rPr>
        <w:t xml:space="preserve">　これらを踏まえ、次の視点から総合支所整備をするものとします。</w:t>
      </w:r>
    </w:p>
    <w:p w:rsidR="0013314E" w:rsidRDefault="0013314E">
      <w:pPr>
        <w:rPr>
          <w:sz w:val="24"/>
          <w:szCs w:val="24"/>
        </w:rPr>
      </w:pPr>
    </w:p>
    <w:p w:rsidR="00CC09D6" w:rsidRDefault="00CC09D6" w:rsidP="00CC09D6">
      <w:pPr>
        <w:rPr>
          <w:sz w:val="24"/>
          <w:szCs w:val="24"/>
        </w:rPr>
      </w:pPr>
      <w:r>
        <w:rPr>
          <w:rFonts w:hint="eastAsia"/>
          <w:sz w:val="24"/>
          <w:szCs w:val="24"/>
        </w:rPr>
        <w:t>１　防災機能の向上</w:t>
      </w:r>
    </w:p>
    <w:p w:rsidR="00CC09D6" w:rsidRDefault="00CC09D6" w:rsidP="00CC09D6">
      <w:pPr>
        <w:rPr>
          <w:sz w:val="24"/>
          <w:szCs w:val="24"/>
        </w:rPr>
      </w:pPr>
      <w:r>
        <w:rPr>
          <w:rFonts w:hint="eastAsia"/>
          <w:sz w:val="24"/>
          <w:szCs w:val="24"/>
        </w:rPr>
        <w:t xml:space="preserve">　総合支所は地域防災の拠点として住民の生命と暮らしを守る役割を持っており非常時においてこそ機能が発揮されるべきである。このことから、備蓄機能やライフラインの途絶に対応する設備機能を備え、災害時に十分にその役割を果たせる耐震性のある庁舎に整備します。</w:t>
      </w:r>
    </w:p>
    <w:p w:rsidR="00441C93" w:rsidRPr="00441C93" w:rsidRDefault="00F70B93" w:rsidP="00441C9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総合支所の耐震安全性の目標を次</w:t>
      </w:r>
      <w:r w:rsidR="00441C93" w:rsidRPr="00441C93">
        <w:rPr>
          <w:rFonts w:ascii="ＭＳ Ｐ明朝" w:eastAsia="ＭＳ Ｐ明朝" w:hAnsi="ＭＳ Ｐ明朝" w:hint="eastAsia"/>
          <w:sz w:val="24"/>
          <w:szCs w:val="24"/>
        </w:rPr>
        <w:t>のとおりとし、防災機能の向上を図ります。</w:t>
      </w:r>
    </w:p>
    <w:p w:rsidR="00441C93" w:rsidRPr="00441C93" w:rsidRDefault="00441C93" w:rsidP="00441C93">
      <w:pPr>
        <w:rPr>
          <w:rFonts w:ascii="ＭＳ Ｐ明朝" w:eastAsia="ＭＳ Ｐ明朝" w:hAnsi="ＭＳ Ｐ明朝"/>
          <w:sz w:val="24"/>
          <w:szCs w:val="24"/>
        </w:rPr>
      </w:pPr>
      <w:r w:rsidRPr="00441C93">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37CE0610" wp14:editId="75CB6435">
                <wp:simplePos x="0" y="0"/>
                <wp:positionH relativeFrom="column">
                  <wp:posOffset>100965</wp:posOffset>
                </wp:positionH>
                <wp:positionV relativeFrom="paragraph">
                  <wp:posOffset>20320</wp:posOffset>
                </wp:positionV>
                <wp:extent cx="90805" cy="619125"/>
                <wp:effectExtent l="5715" t="10795" r="8255" b="825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7.95pt;margin-top:1.6pt;width:7.1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">
                <v:textbox inset="5.85pt,.7pt,5.85pt,.7pt"/>
              </v:shape>
            </w:pict>
          </mc:Fallback>
        </mc:AlternateContent>
      </w:r>
      <w:r w:rsidRPr="00441C93">
        <w:rPr>
          <w:rFonts w:ascii="ＭＳ Ｐ明朝" w:eastAsia="ＭＳ Ｐ明朝" w:hAnsi="ＭＳ Ｐ明朝" w:hint="eastAsia"/>
          <w:sz w:val="24"/>
          <w:szCs w:val="24"/>
        </w:rPr>
        <w:t xml:space="preserve">　　・構造体　Ⅱ類</w:t>
      </w:r>
    </w:p>
    <w:p w:rsidR="00441C93" w:rsidRPr="00441C93" w:rsidRDefault="00441C93" w:rsidP="00441C93">
      <w:pPr>
        <w:rPr>
          <w:rFonts w:ascii="ＭＳ Ｐ明朝" w:eastAsia="ＭＳ Ｐ明朝" w:hAnsi="ＭＳ Ｐ明朝"/>
          <w:sz w:val="24"/>
          <w:szCs w:val="24"/>
        </w:rPr>
      </w:pPr>
      <w:r w:rsidRPr="00441C93">
        <w:rPr>
          <w:rFonts w:ascii="ＭＳ Ｐ明朝" w:eastAsia="ＭＳ Ｐ明朝" w:hAnsi="ＭＳ Ｐ明朝" w:hint="eastAsia"/>
          <w:sz w:val="24"/>
          <w:szCs w:val="24"/>
        </w:rPr>
        <w:t xml:space="preserve">　　・建築非構造部材　Ａ類</w:t>
      </w:r>
    </w:p>
    <w:p w:rsidR="00CC09D6" w:rsidRDefault="00441C93" w:rsidP="00441C93">
      <w:pPr>
        <w:rPr>
          <w:sz w:val="24"/>
          <w:szCs w:val="24"/>
        </w:rPr>
      </w:pPr>
      <w:r w:rsidRPr="00441C93">
        <w:rPr>
          <w:rFonts w:ascii="ＭＳ Ｐ明朝" w:eastAsia="ＭＳ Ｐ明朝" w:hAnsi="ＭＳ Ｐ明朝" w:hint="eastAsia"/>
          <w:sz w:val="24"/>
          <w:szCs w:val="24"/>
        </w:rPr>
        <w:t xml:space="preserve">　　・建築設備　甲類</w:t>
      </w:r>
      <w:r w:rsidRPr="00441C93">
        <w:rPr>
          <w:rFonts w:ascii="ＭＳ Ｐ明朝" w:eastAsia="ＭＳ Ｐ明朝" w:hAnsi="ＭＳ Ｐ明朝" w:hint="eastAsia"/>
          <w:b/>
          <w:sz w:val="24"/>
          <w:szCs w:val="24"/>
        </w:rPr>
        <w:t xml:space="preserve">　</w:t>
      </w:r>
      <w:r>
        <w:rPr>
          <w:rFonts w:ascii="ＭＳ Ｐ明朝" w:eastAsia="ＭＳ Ｐ明朝" w:hAnsi="ＭＳ Ｐ明朝" w:hint="eastAsia"/>
          <w:b/>
          <w:sz w:val="22"/>
        </w:rPr>
        <w:t xml:space="preserve">　　　　　　</w:t>
      </w:r>
    </w:p>
    <w:p w:rsidR="00441C93" w:rsidRDefault="00441C93" w:rsidP="00001302">
      <w:pPr>
        <w:rPr>
          <w:sz w:val="24"/>
          <w:szCs w:val="24"/>
        </w:rPr>
      </w:pPr>
    </w:p>
    <w:p w:rsidR="00001302" w:rsidRDefault="00001302" w:rsidP="00001302">
      <w:pPr>
        <w:rPr>
          <w:sz w:val="24"/>
          <w:szCs w:val="24"/>
        </w:rPr>
      </w:pPr>
      <w:r>
        <w:rPr>
          <w:rFonts w:hint="eastAsia"/>
          <w:sz w:val="24"/>
          <w:szCs w:val="24"/>
        </w:rPr>
        <w:t>２　市民が使いやすい環境づくり</w:t>
      </w:r>
    </w:p>
    <w:p w:rsidR="0013314E" w:rsidRDefault="00001302" w:rsidP="00001302">
      <w:pPr>
        <w:rPr>
          <w:sz w:val="24"/>
          <w:szCs w:val="24"/>
        </w:rPr>
      </w:pPr>
      <w:r>
        <w:rPr>
          <w:rFonts w:hint="eastAsia"/>
          <w:sz w:val="24"/>
          <w:szCs w:val="24"/>
        </w:rPr>
        <w:t xml:space="preserve">　「市民が使いやすい庁舎」を基本にユニバーサルデザイン等の環境づくりを進めます。また、空きスペースがある場合は複合化なども検討します。</w:t>
      </w:r>
    </w:p>
    <w:p w:rsidR="0013314E" w:rsidRDefault="0013314E">
      <w:pPr>
        <w:rPr>
          <w:sz w:val="24"/>
          <w:szCs w:val="24"/>
        </w:rPr>
      </w:pPr>
    </w:p>
    <w:p w:rsidR="0013314E" w:rsidRDefault="0013314E">
      <w:pPr>
        <w:rPr>
          <w:sz w:val="24"/>
          <w:szCs w:val="24"/>
        </w:rPr>
      </w:pPr>
      <w:r>
        <w:rPr>
          <w:rFonts w:hint="eastAsia"/>
          <w:sz w:val="24"/>
          <w:szCs w:val="24"/>
        </w:rPr>
        <w:t xml:space="preserve">３　</w:t>
      </w:r>
      <w:r w:rsidR="009342CA">
        <w:rPr>
          <w:rFonts w:hint="eastAsia"/>
          <w:sz w:val="24"/>
          <w:szCs w:val="24"/>
        </w:rPr>
        <w:t>整備方法</w:t>
      </w:r>
      <w:r w:rsidR="00CC09D6">
        <w:rPr>
          <w:rFonts w:hint="eastAsia"/>
          <w:sz w:val="24"/>
          <w:szCs w:val="24"/>
        </w:rPr>
        <w:t>の比較</w:t>
      </w:r>
    </w:p>
    <w:p w:rsidR="00CC09D6" w:rsidRDefault="007033FD">
      <w:pPr>
        <w:rPr>
          <w:sz w:val="24"/>
          <w:szCs w:val="24"/>
        </w:rPr>
      </w:pPr>
      <w:r>
        <w:rPr>
          <w:rFonts w:hint="eastAsia"/>
          <w:sz w:val="24"/>
          <w:szCs w:val="24"/>
        </w:rPr>
        <w:t xml:space="preserve">　</w:t>
      </w:r>
      <w:r w:rsidR="00CC09D6">
        <w:rPr>
          <w:rFonts w:hint="eastAsia"/>
          <w:sz w:val="24"/>
          <w:szCs w:val="24"/>
        </w:rPr>
        <w:t>建物の状況調査結果や近隣施設の状況を踏まえ</w:t>
      </w:r>
      <w:r w:rsidR="00CD0E69">
        <w:rPr>
          <w:rFonts w:hint="eastAsia"/>
          <w:sz w:val="24"/>
          <w:szCs w:val="24"/>
        </w:rPr>
        <w:t>、</w:t>
      </w:r>
      <w:r w:rsidR="00CC09D6">
        <w:rPr>
          <w:rFonts w:hint="eastAsia"/>
          <w:sz w:val="24"/>
          <w:szCs w:val="24"/>
        </w:rPr>
        <w:t>耐震改修、新築、既存建物活用などを比較検討します。また、整備費と維持管理費などの経費を縮減する方法を優先します。</w:t>
      </w:r>
    </w:p>
    <w:p w:rsidR="00CC09D6" w:rsidRDefault="00CC09D6">
      <w:pPr>
        <w:rPr>
          <w:sz w:val="24"/>
          <w:szCs w:val="24"/>
        </w:rPr>
      </w:pPr>
    </w:p>
    <w:p w:rsidR="00CC09D6" w:rsidRDefault="00CC09D6">
      <w:pPr>
        <w:rPr>
          <w:sz w:val="24"/>
          <w:szCs w:val="24"/>
        </w:rPr>
      </w:pPr>
      <w:r>
        <w:rPr>
          <w:rFonts w:hint="eastAsia"/>
          <w:sz w:val="24"/>
          <w:szCs w:val="24"/>
        </w:rPr>
        <w:t>４　検討の進め方</w:t>
      </w:r>
    </w:p>
    <w:p w:rsidR="00CC09D6" w:rsidRDefault="00CC09D6" w:rsidP="00CC09D6">
      <w:pPr>
        <w:ind w:firstLineChars="100" w:firstLine="240"/>
        <w:rPr>
          <w:sz w:val="24"/>
          <w:szCs w:val="24"/>
        </w:rPr>
      </w:pPr>
      <w:r>
        <w:rPr>
          <w:rFonts w:hint="eastAsia"/>
          <w:sz w:val="24"/>
          <w:szCs w:val="24"/>
        </w:rPr>
        <w:t>整備の検討を進めるにあたっては、</w:t>
      </w:r>
      <w:r w:rsidR="009342CA">
        <w:rPr>
          <w:rFonts w:hint="eastAsia"/>
          <w:sz w:val="24"/>
          <w:szCs w:val="24"/>
        </w:rPr>
        <w:t>各支所間のバランスを量りつつ</w:t>
      </w:r>
      <w:r>
        <w:rPr>
          <w:rFonts w:hint="eastAsia"/>
          <w:sz w:val="24"/>
          <w:szCs w:val="24"/>
        </w:rPr>
        <w:t>地域</w:t>
      </w:r>
      <w:r w:rsidR="009342CA">
        <w:rPr>
          <w:rFonts w:hint="eastAsia"/>
          <w:sz w:val="24"/>
          <w:szCs w:val="24"/>
        </w:rPr>
        <w:t>振興会議</w:t>
      </w:r>
      <w:r>
        <w:rPr>
          <w:rFonts w:hint="eastAsia"/>
          <w:sz w:val="24"/>
          <w:szCs w:val="24"/>
        </w:rPr>
        <w:t>を中心に地域住民の意見を伺いながら進めます。</w:t>
      </w:r>
    </w:p>
    <w:p w:rsidR="009342CA" w:rsidRDefault="009342CA" w:rsidP="00B91436">
      <w:pPr>
        <w:ind w:firstLineChars="100" w:firstLine="240"/>
        <w:rPr>
          <w:sz w:val="24"/>
          <w:szCs w:val="24"/>
        </w:rPr>
      </w:pPr>
    </w:p>
    <w:p w:rsidR="009342CA" w:rsidRDefault="009342CA" w:rsidP="00B91436">
      <w:pPr>
        <w:ind w:firstLineChars="100" w:firstLine="240"/>
        <w:rPr>
          <w:sz w:val="24"/>
          <w:szCs w:val="24"/>
        </w:rPr>
      </w:pPr>
      <w:r>
        <w:rPr>
          <w:rFonts w:hint="eastAsia"/>
          <w:sz w:val="24"/>
          <w:szCs w:val="24"/>
        </w:rPr>
        <w:t>＜予定＞</w:t>
      </w:r>
    </w:p>
    <w:p w:rsidR="00B91436" w:rsidRDefault="00CC09D6" w:rsidP="00B91436">
      <w:pPr>
        <w:ind w:firstLineChars="100" w:firstLine="240"/>
        <w:rPr>
          <w:sz w:val="24"/>
          <w:szCs w:val="24"/>
        </w:rPr>
      </w:pPr>
      <w:r>
        <w:rPr>
          <w:rFonts w:hint="eastAsia"/>
          <w:sz w:val="24"/>
          <w:szCs w:val="24"/>
        </w:rPr>
        <w:t>平成</w:t>
      </w:r>
      <w:r>
        <w:rPr>
          <w:rFonts w:hint="eastAsia"/>
          <w:sz w:val="24"/>
          <w:szCs w:val="24"/>
        </w:rPr>
        <w:t>27</w:t>
      </w:r>
      <w:r>
        <w:rPr>
          <w:rFonts w:hint="eastAsia"/>
          <w:sz w:val="24"/>
          <w:szCs w:val="24"/>
        </w:rPr>
        <w:t>年</w:t>
      </w:r>
      <w:r w:rsidR="00B91436">
        <w:rPr>
          <w:rFonts w:hint="eastAsia"/>
          <w:sz w:val="24"/>
          <w:szCs w:val="24"/>
        </w:rPr>
        <w:t>4</w:t>
      </w:r>
      <w:r w:rsidR="00B91436">
        <w:rPr>
          <w:rFonts w:hint="eastAsia"/>
          <w:sz w:val="24"/>
          <w:szCs w:val="24"/>
        </w:rPr>
        <w:t>月～</w:t>
      </w:r>
      <w:r w:rsidR="00B91436">
        <w:rPr>
          <w:rFonts w:hint="eastAsia"/>
          <w:sz w:val="24"/>
          <w:szCs w:val="24"/>
        </w:rPr>
        <w:t>12</w:t>
      </w:r>
      <w:r w:rsidR="00B91436">
        <w:rPr>
          <w:rFonts w:hint="eastAsia"/>
          <w:sz w:val="24"/>
          <w:szCs w:val="24"/>
        </w:rPr>
        <w:t>月</w:t>
      </w:r>
      <w:r>
        <w:rPr>
          <w:rFonts w:hint="eastAsia"/>
          <w:sz w:val="24"/>
          <w:szCs w:val="24"/>
        </w:rPr>
        <w:t xml:space="preserve">　</w:t>
      </w:r>
      <w:r w:rsidR="00B91436">
        <w:rPr>
          <w:rFonts w:hint="eastAsia"/>
          <w:sz w:val="24"/>
          <w:szCs w:val="24"/>
        </w:rPr>
        <w:t>既存建物</w:t>
      </w:r>
      <w:r w:rsidR="009342CA">
        <w:rPr>
          <w:rFonts w:hint="eastAsia"/>
          <w:sz w:val="24"/>
          <w:szCs w:val="24"/>
        </w:rPr>
        <w:t>候補</w:t>
      </w:r>
      <w:r w:rsidR="00B91436">
        <w:rPr>
          <w:rFonts w:hint="eastAsia"/>
          <w:sz w:val="24"/>
          <w:szCs w:val="24"/>
        </w:rPr>
        <w:t>等の検討</w:t>
      </w:r>
    </w:p>
    <w:p w:rsidR="00CC09D6" w:rsidRDefault="00B91436" w:rsidP="009342CA">
      <w:pPr>
        <w:ind w:firstLineChars="1200" w:firstLine="2880"/>
        <w:rPr>
          <w:sz w:val="24"/>
          <w:szCs w:val="24"/>
        </w:rPr>
      </w:pPr>
      <w:r>
        <w:rPr>
          <w:rFonts w:hint="eastAsia"/>
          <w:sz w:val="24"/>
          <w:szCs w:val="24"/>
        </w:rPr>
        <w:t>総合支所耐震</w:t>
      </w:r>
      <w:r w:rsidR="008579A2">
        <w:rPr>
          <w:rFonts w:hint="eastAsia"/>
          <w:sz w:val="24"/>
          <w:szCs w:val="24"/>
        </w:rPr>
        <w:t>化</w:t>
      </w:r>
      <w:r>
        <w:rPr>
          <w:rFonts w:hint="eastAsia"/>
          <w:sz w:val="24"/>
          <w:szCs w:val="24"/>
        </w:rPr>
        <w:t>基礎調査</w:t>
      </w:r>
      <w:r w:rsidR="009342CA">
        <w:rPr>
          <w:rFonts w:hint="eastAsia"/>
          <w:sz w:val="24"/>
          <w:szCs w:val="24"/>
        </w:rPr>
        <w:t>を実施</w:t>
      </w:r>
    </w:p>
    <w:p w:rsidR="00B91436" w:rsidRDefault="00B91436" w:rsidP="00CC09D6">
      <w:pPr>
        <w:ind w:firstLineChars="100" w:firstLine="240"/>
        <w:rPr>
          <w:sz w:val="24"/>
          <w:szCs w:val="24"/>
        </w:rPr>
      </w:pPr>
      <w:r>
        <w:rPr>
          <w:rFonts w:hint="eastAsia"/>
          <w:sz w:val="24"/>
          <w:szCs w:val="24"/>
        </w:rPr>
        <w:t>平成</w:t>
      </w:r>
      <w:r>
        <w:rPr>
          <w:rFonts w:hint="eastAsia"/>
          <w:sz w:val="24"/>
          <w:szCs w:val="24"/>
        </w:rPr>
        <w:t>28</w:t>
      </w:r>
      <w:r>
        <w:rPr>
          <w:rFonts w:hint="eastAsia"/>
          <w:sz w:val="24"/>
          <w:szCs w:val="24"/>
        </w:rPr>
        <w:t>年</w:t>
      </w:r>
      <w:r>
        <w:rPr>
          <w:rFonts w:hint="eastAsia"/>
          <w:sz w:val="24"/>
          <w:szCs w:val="24"/>
        </w:rPr>
        <w:t>1</w:t>
      </w:r>
      <w:r>
        <w:rPr>
          <w:rFonts w:hint="eastAsia"/>
          <w:sz w:val="24"/>
          <w:szCs w:val="24"/>
        </w:rPr>
        <w:t xml:space="preserve">月～　</w:t>
      </w:r>
      <w:r w:rsidR="009342CA">
        <w:rPr>
          <w:rFonts w:hint="eastAsia"/>
          <w:sz w:val="24"/>
          <w:szCs w:val="24"/>
        </w:rPr>
        <w:t xml:space="preserve">　　</w:t>
      </w:r>
      <w:r w:rsidR="009342CA">
        <w:rPr>
          <w:rFonts w:hint="eastAsia"/>
          <w:sz w:val="24"/>
          <w:szCs w:val="24"/>
        </w:rPr>
        <w:t xml:space="preserve"> </w:t>
      </w:r>
      <w:r>
        <w:rPr>
          <w:rFonts w:hint="eastAsia"/>
          <w:sz w:val="24"/>
          <w:szCs w:val="24"/>
        </w:rPr>
        <w:t>調査結果を基に整備方針の検討</w:t>
      </w:r>
    </w:p>
    <w:p w:rsidR="00F10DD2" w:rsidRDefault="00F10DD2">
      <w:pPr>
        <w:widowControl/>
        <w:jc w:val="left"/>
        <w:rPr>
          <w:rFonts w:ascii="ＭＳ Ｐ明朝" w:eastAsia="ＭＳ Ｐ明朝" w:hAnsi="ＭＳ Ｐ明朝"/>
          <w:sz w:val="36"/>
          <w:szCs w:val="36"/>
        </w:rPr>
      </w:pPr>
      <w:r>
        <w:rPr>
          <w:rFonts w:ascii="ＭＳ Ｐ明朝" w:eastAsia="ＭＳ Ｐ明朝" w:hAnsi="ＭＳ Ｐ明朝"/>
          <w:sz w:val="36"/>
          <w:szCs w:val="36"/>
        </w:rPr>
        <w:br w:type="page"/>
      </w:r>
    </w:p>
    <w:p w:rsidR="00441C93" w:rsidRPr="00441C93" w:rsidRDefault="00441C93" w:rsidP="00441C93">
      <w:pPr>
        <w:rPr>
          <w:rFonts w:ascii="ＭＳ Ｐ明朝" w:eastAsia="ＭＳ Ｐ明朝" w:hAnsi="ＭＳ Ｐ明朝"/>
          <w:sz w:val="36"/>
          <w:szCs w:val="36"/>
        </w:rPr>
      </w:pPr>
      <w:r w:rsidRPr="00441C93">
        <w:rPr>
          <w:rFonts w:ascii="ＭＳ Ｐ明朝" w:eastAsia="ＭＳ Ｐ明朝" w:hAnsi="ＭＳ Ｐ明朝" w:hint="eastAsia"/>
          <w:sz w:val="36"/>
          <w:szCs w:val="36"/>
        </w:rPr>
        <w:lastRenderedPageBreak/>
        <w:t>[参考]</w:t>
      </w:r>
    </w:p>
    <w:p w:rsidR="00441C93" w:rsidRDefault="00441C93" w:rsidP="00441C93">
      <w:pPr>
        <w:ind w:firstLineChars="100" w:firstLine="220"/>
        <w:rPr>
          <w:rFonts w:ascii="ＭＳ Ｐ明朝" w:eastAsia="ＭＳ Ｐ明朝" w:hAnsi="ＭＳ Ｐ明朝"/>
          <w:sz w:val="22"/>
        </w:rPr>
      </w:pPr>
      <w:r w:rsidRPr="00496BC5">
        <w:rPr>
          <w:rFonts w:ascii="ＭＳ Ｐ明朝" w:eastAsia="ＭＳ Ｐ明朝" w:hAnsi="ＭＳ Ｐ明朝" w:hint="eastAsia"/>
          <w:sz w:val="22"/>
          <w:u w:val="single"/>
        </w:rPr>
        <w:t>「国土交通省：官庁施設の総合耐震・対津波計画基準」</w:t>
      </w:r>
      <w:r w:rsidRPr="00321A1A">
        <w:rPr>
          <w:rFonts w:ascii="ＭＳ Ｐ明朝" w:eastAsia="ＭＳ Ｐ明朝" w:hAnsi="ＭＳ Ｐ明朝" w:hint="eastAsia"/>
          <w:sz w:val="22"/>
        </w:rPr>
        <w:t>によると、</w:t>
      </w:r>
      <w:r w:rsidRPr="00496BC5">
        <w:rPr>
          <w:rFonts w:ascii="ＭＳ Ｐ明朝" w:eastAsia="ＭＳ Ｐ明朝" w:hAnsi="ＭＳ Ｐ明朝" w:hint="eastAsia"/>
          <w:sz w:val="22"/>
          <w:u w:val="single"/>
        </w:rPr>
        <w:t>災害対策の指揮、情報伝達等のための施設は、構造体Ⅱ類以上、建築非構造部材Ａ類、建築設備甲類とすることが目標</w:t>
      </w:r>
      <w:r w:rsidRPr="00321A1A">
        <w:rPr>
          <w:rFonts w:ascii="ＭＳ Ｐ明朝" w:eastAsia="ＭＳ Ｐ明朝" w:hAnsi="ＭＳ Ｐ明朝" w:hint="eastAsia"/>
          <w:sz w:val="22"/>
        </w:rPr>
        <w:t>とされています。これを踏まえ、災害対策支部となる総合支所の耐震安全性の分類はⅡ類・Ａ類・甲類を目標とします。</w:t>
      </w:r>
      <w:r>
        <w:rPr>
          <w:rFonts w:ascii="ＭＳ Ｐ明朝" w:eastAsia="ＭＳ Ｐ明朝" w:hAnsi="ＭＳ Ｐ明朝" w:hint="eastAsia"/>
          <w:sz w:val="22"/>
        </w:rPr>
        <w:t>（新耐震基準の支所も含め検討を進めます。）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6237"/>
      </w:tblGrid>
      <w:tr w:rsidR="00441C93" w:rsidRPr="005A40B5" w:rsidTr="000D5116">
        <w:tc>
          <w:tcPr>
            <w:tcW w:w="1843" w:type="dxa"/>
            <w:shd w:val="clear" w:color="auto" w:fill="auto"/>
          </w:tcPr>
          <w:p w:rsidR="00441C93" w:rsidRPr="005A40B5" w:rsidRDefault="00441C93" w:rsidP="000D5116">
            <w:pPr>
              <w:outlineLvl w:val="0"/>
              <w:rPr>
                <w:szCs w:val="21"/>
              </w:rPr>
            </w:pPr>
            <w:r w:rsidRPr="005A40B5">
              <w:rPr>
                <w:rFonts w:hint="eastAsia"/>
                <w:szCs w:val="21"/>
              </w:rPr>
              <w:t xml:space="preserve">　　　部位</w:t>
            </w:r>
          </w:p>
        </w:tc>
        <w:tc>
          <w:tcPr>
            <w:tcW w:w="992" w:type="dxa"/>
            <w:shd w:val="clear" w:color="auto" w:fill="auto"/>
          </w:tcPr>
          <w:p w:rsidR="00441C93" w:rsidRPr="005A40B5" w:rsidRDefault="00441C93" w:rsidP="000D5116">
            <w:pPr>
              <w:jc w:val="center"/>
              <w:outlineLvl w:val="0"/>
              <w:rPr>
                <w:szCs w:val="21"/>
              </w:rPr>
            </w:pPr>
            <w:r w:rsidRPr="005A40B5">
              <w:rPr>
                <w:rFonts w:hint="eastAsia"/>
                <w:szCs w:val="21"/>
              </w:rPr>
              <w:t>分類</w:t>
            </w:r>
          </w:p>
        </w:tc>
        <w:tc>
          <w:tcPr>
            <w:tcW w:w="6237" w:type="dxa"/>
            <w:shd w:val="clear" w:color="auto" w:fill="auto"/>
          </w:tcPr>
          <w:p w:rsidR="00441C93" w:rsidRPr="005A40B5" w:rsidRDefault="00441C93" w:rsidP="000D5116">
            <w:pPr>
              <w:jc w:val="center"/>
              <w:outlineLvl w:val="0"/>
              <w:rPr>
                <w:szCs w:val="21"/>
              </w:rPr>
            </w:pPr>
            <w:r w:rsidRPr="005A40B5">
              <w:rPr>
                <w:rFonts w:hint="eastAsia"/>
                <w:szCs w:val="21"/>
              </w:rPr>
              <w:t>耐震安全性の目標</w:t>
            </w:r>
          </w:p>
        </w:tc>
      </w:tr>
      <w:tr w:rsidR="00441C93" w:rsidRPr="005A40B5" w:rsidTr="000D5116">
        <w:tc>
          <w:tcPr>
            <w:tcW w:w="1843" w:type="dxa"/>
            <w:vMerge w:val="restart"/>
            <w:shd w:val="clear" w:color="auto" w:fill="auto"/>
            <w:vAlign w:val="center"/>
          </w:tcPr>
          <w:p w:rsidR="00441C93" w:rsidRPr="005A40B5" w:rsidRDefault="00441C93" w:rsidP="000D5116">
            <w:pPr>
              <w:jc w:val="center"/>
              <w:outlineLvl w:val="0"/>
              <w:rPr>
                <w:szCs w:val="21"/>
              </w:rPr>
            </w:pPr>
            <w:r w:rsidRPr="005A40B5">
              <w:rPr>
                <w:rFonts w:hint="eastAsia"/>
                <w:szCs w:val="21"/>
              </w:rPr>
              <w:t>構造体</w:t>
            </w: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Ⅰ類</w:t>
            </w:r>
          </w:p>
          <w:p w:rsidR="00441C93" w:rsidRPr="005A40B5" w:rsidRDefault="00441C93" w:rsidP="000D5116">
            <w:pPr>
              <w:jc w:val="center"/>
              <w:outlineLvl w:val="0"/>
              <w:rPr>
                <w:szCs w:val="21"/>
              </w:rPr>
            </w:pPr>
            <w:r w:rsidRPr="005A40B5">
              <w:rPr>
                <w:rFonts w:hint="eastAsia"/>
                <w:szCs w:val="21"/>
              </w:rPr>
              <w:t>1.5</w:t>
            </w:r>
            <w:r w:rsidRPr="005A40B5">
              <w:rPr>
                <w:rFonts w:hint="eastAsia"/>
                <w:szCs w:val="21"/>
              </w:rPr>
              <w:t>倍</w:t>
            </w:r>
          </w:p>
        </w:tc>
        <w:tc>
          <w:tcPr>
            <w:tcW w:w="6237" w:type="dxa"/>
            <w:shd w:val="clear" w:color="auto" w:fill="auto"/>
          </w:tcPr>
          <w:p w:rsidR="00441C93" w:rsidRPr="005A40B5" w:rsidRDefault="00441C93" w:rsidP="000D5116">
            <w:pPr>
              <w:outlineLvl w:val="0"/>
              <w:rPr>
                <w:szCs w:val="21"/>
              </w:rPr>
            </w:pPr>
            <w:r w:rsidRPr="005A40B5">
              <w:rPr>
                <w:rFonts w:hint="eastAsia"/>
                <w:szCs w:val="21"/>
              </w:rPr>
              <w:t xml:space="preserve">　</w:t>
            </w:r>
            <w:r w:rsidRPr="00C843BB">
              <w:rPr>
                <w:rFonts w:hint="eastAsia"/>
                <w:szCs w:val="21"/>
              </w:rPr>
              <w:t>大地震動後、構造体の補修をすることなく建築物を使用できることを目標とし</w:t>
            </w:r>
            <w:r w:rsidRPr="005A40B5">
              <w:rPr>
                <w:rFonts w:hint="eastAsia"/>
                <w:szCs w:val="21"/>
              </w:rPr>
              <w:t>、人命の安全確保に加えて</w:t>
            </w:r>
            <w:r w:rsidRPr="00C843BB">
              <w:rPr>
                <w:rFonts w:hint="eastAsia"/>
                <w:szCs w:val="21"/>
              </w:rPr>
              <w:t>十分な機能確保が図れる</w:t>
            </w:r>
            <w:r w:rsidRPr="005A40B5">
              <w:rPr>
                <w:rFonts w:hint="eastAsia"/>
                <w:szCs w:val="21"/>
              </w:rPr>
              <w:t>ものとする。</w:t>
            </w:r>
          </w:p>
        </w:tc>
      </w:tr>
      <w:tr w:rsidR="00441C93" w:rsidRPr="005A40B5" w:rsidTr="000D5116">
        <w:tc>
          <w:tcPr>
            <w:tcW w:w="1843" w:type="dxa"/>
            <w:vMerge/>
            <w:shd w:val="clear" w:color="auto" w:fill="auto"/>
          </w:tcPr>
          <w:p w:rsidR="00441C93" w:rsidRPr="005A40B5" w:rsidRDefault="00441C93" w:rsidP="000D5116">
            <w:pPr>
              <w:jc w:val="center"/>
              <w:outlineLvl w:val="0"/>
              <w:rPr>
                <w:szCs w:val="21"/>
              </w:rPr>
            </w:pP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Ⅱ類</w:t>
            </w:r>
          </w:p>
          <w:p w:rsidR="00441C93" w:rsidRPr="005A40B5" w:rsidRDefault="00441C93" w:rsidP="000D5116">
            <w:pPr>
              <w:jc w:val="center"/>
              <w:outlineLvl w:val="0"/>
              <w:rPr>
                <w:szCs w:val="21"/>
              </w:rPr>
            </w:pPr>
            <w:r w:rsidRPr="005A40B5">
              <w:rPr>
                <w:rFonts w:hint="eastAsia"/>
                <w:szCs w:val="21"/>
              </w:rPr>
              <w:t>1.25</w:t>
            </w:r>
            <w:r w:rsidRPr="005A40B5">
              <w:rPr>
                <w:rFonts w:hint="eastAsia"/>
                <w:szCs w:val="21"/>
              </w:rPr>
              <w:t>倍</w:t>
            </w:r>
          </w:p>
        </w:tc>
        <w:tc>
          <w:tcPr>
            <w:tcW w:w="6237" w:type="dxa"/>
            <w:shd w:val="clear" w:color="auto" w:fill="auto"/>
          </w:tcPr>
          <w:p w:rsidR="00441C93" w:rsidRPr="005A40B5" w:rsidRDefault="00441C93" w:rsidP="000D5116">
            <w:pPr>
              <w:ind w:firstLineChars="100" w:firstLine="210"/>
              <w:outlineLvl w:val="0"/>
              <w:rPr>
                <w:szCs w:val="21"/>
              </w:rPr>
            </w:pPr>
            <w:r w:rsidRPr="005D7105">
              <w:rPr>
                <w:rFonts w:hint="eastAsia"/>
                <w:szCs w:val="21"/>
                <w:u w:val="single"/>
              </w:rPr>
              <w:t>大地震動後、構造体の大きな補修をすることなく建築物を使用できることを目標とし</w:t>
            </w:r>
            <w:r w:rsidRPr="005A40B5">
              <w:rPr>
                <w:rFonts w:hint="eastAsia"/>
                <w:szCs w:val="21"/>
              </w:rPr>
              <w:t>、人命の安全確保に加えて</w:t>
            </w:r>
            <w:r w:rsidRPr="005D7105">
              <w:rPr>
                <w:rFonts w:hint="eastAsia"/>
                <w:szCs w:val="21"/>
                <w:u w:val="single"/>
              </w:rPr>
              <w:t>機能確保が図れる</w:t>
            </w:r>
            <w:r w:rsidRPr="005A40B5">
              <w:rPr>
                <w:rFonts w:hint="eastAsia"/>
                <w:szCs w:val="21"/>
              </w:rPr>
              <w:t>ものとする。</w:t>
            </w:r>
          </w:p>
        </w:tc>
      </w:tr>
      <w:tr w:rsidR="00441C93" w:rsidRPr="005A40B5" w:rsidTr="000D5116">
        <w:tc>
          <w:tcPr>
            <w:tcW w:w="1843" w:type="dxa"/>
            <w:vMerge/>
            <w:shd w:val="clear" w:color="auto" w:fill="auto"/>
          </w:tcPr>
          <w:p w:rsidR="00441C93" w:rsidRPr="005A40B5" w:rsidRDefault="00441C93" w:rsidP="000D5116">
            <w:pPr>
              <w:outlineLvl w:val="0"/>
              <w:rPr>
                <w:szCs w:val="21"/>
              </w:rPr>
            </w:pP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Ⅲ類</w:t>
            </w:r>
          </w:p>
          <w:p w:rsidR="00441C93" w:rsidRPr="005A40B5" w:rsidRDefault="00441C93" w:rsidP="000D5116">
            <w:pPr>
              <w:jc w:val="center"/>
              <w:outlineLvl w:val="0"/>
              <w:rPr>
                <w:szCs w:val="21"/>
              </w:rPr>
            </w:pPr>
            <w:r w:rsidRPr="005A40B5">
              <w:rPr>
                <w:rFonts w:hint="eastAsia"/>
                <w:szCs w:val="21"/>
              </w:rPr>
              <w:t>1.0</w:t>
            </w:r>
            <w:r w:rsidRPr="005A40B5">
              <w:rPr>
                <w:rFonts w:hint="eastAsia"/>
                <w:szCs w:val="21"/>
              </w:rPr>
              <w:t>倍</w:t>
            </w:r>
          </w:p>
        </w:tc>
        <w:tc>
          <w:tcPr>
            <w:tcW w:w="6237" w:type="dxa"/>
            <w:shd w:val="clear" w:color="auto" w:fill="auto"/>
          </w:tcPr>
          <w:p w:rsidR="00441C93" w:rsidRPr="005A40B5" w:rsidRDefault="00441C93" w:rsidP="000D5116">
            <w:pPr>
              <w:ind w:firstLineChars="100" w:firstLine="210"/>
              <w:outlineLvl w:val="0"/>
              <w:rPr>
                <w:szCs w:val="21"/>
              </w:rPr>
            </w:pPr>
            <w:r w:rsidRPr="005A40B5">
              <w:rPr>
                <w:rFonts w:hint="eastAsia"/>
                <w:szCs w:val="21"/>
              </w:rPr>
              <w:t>大地震動により構造体の部分的な損傷は生じるが、建築物全体の耐力の低下は著しくないことを目標とし、人命の安全確保が図れるものとする。</w:t>
            </w:r>
          </w:p>
        </w:tc>
      </w:tr>
      <w:tr w:rsidR="00441C93" w:rsidRPr="005A40B5" w:rsidTr="000D5116">
        <w:tc>
          <w:tcPr>
            <w:tcW w:w="1843" w:type="dxa"/>
            <w:vMerge w:val="restart"/>
            <w:shd w:val="clear" w:color="auto" w:fill="auto"/>
            <w:vAlign w:val="center"/>
          </w:tcPr>
          <w:p w:rsidR="00441C93" w:rsidRPr="005A40B5" w:rsidRDefault="00441C93" w:rsidP="000D5116">
            <w:pPr>
              <w:jc w:val="center"/>
              <w:outlineLvl w:val="0"/>
              <w:rPr>
                <w:szCs w:val="21"/>
              </w:rPr>
            </w:pPr>
            <w:r w:rsidRPr="005A40B5">
              <w:rPr>
                <w:rFonts w:hint="eastAsia"/>
                <w:szCs w:val="21"/>
              </w:rPr>
              <w:t>建築非構造部材</w:t>
            </w: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Ａ類</w:t>
            </w:r>
          </w:p>
        </w:tc>
        <w:tc>
          <w:tcPr>
            <w:tcW w:w="6237" w:type="dxa"/>
            <w:shd w:val="clear" w:color="auto" w:fill="auto"/>
          </w:tcPr>
          <w:p w:rsidR="00441C93" w:rsidRPr="005A40B5" w:rsidRDefault="00441C93" w:rsidP="000D5116">
            <w:pPr>
              <w:outlineLvl w:val="0"/>
              <w:rPr>
                <w:szCs w:val="21"/>
              </w:rPr>
            </w:pPr>
            <w:r w:rsidRPr="005A40B5">
              <w:rPr>
                <w:rFonts w:hint="eastAsia"/>
                <w:szCs w:val="21"/>
              </w:rPr>
              <w:t xml:space="preserve">　</w:t>
            </w:r>
            <w:r w:rsidRPr="005D7105">
              <w:rPr>
                <w:rFonts w:hint="eastAsia"/>
                <w:szCs w:val="21"/>
                <w:u w:val="single"/>
              </w:rPr>
              <w:t>大地震動後、災害応急対策活動等を円滑に行う</w:t>
            </w:r>
            <w:r w:rsidRPr="005A40B5">
              <w:rPr>
                <w:rFonts w:hint="eastAsia"/>
                <w:szCs w:val="21"/>
              </w:rPr>
              <w:t>うえ、又は危険物の管理のうえで支障となる建築非構造材の損傷、移動等が発生しないことを目標とし、人命の安全確保に加えて</w:t>
            </w:r>
            <w:r w:rsidRPr="005D7105">
              <w:rPr>
                <w:rFonts w:hint="eastAsia"/>
                <w:szCs w:val="21"/>
                <w:u w:val="single"/>
              </w:rPr>
              <w:t>十分な機能確保が図れる</w:t>
            </w:r>
            <w:r w:rsidRPr="005A40B5">
              <w:rPr>
                <w:rFonts w:hint="eastAsia"/>
                <w:szCs w:val="21"/>
              </w:rPr>
              <w:t>ものとする。</w:t>
            </w:r>
          </w:p>
        </w:tc>
      </w:tr>
      <w:tr w:rsidR="00441C93" w:rsidRPr="005A40B5" w:rsidTr="000D5116">
        <w:tc>
          <w:tcPr>
            <w:tcW w:w="1843" w:type="dxa"/>
            <w:vMerge/>
            <w:shd w:val="clear" w:color="auto" w:fill="auto"/>
            <w:vAlign w:val="center"/>
          </w:tcPr>
          <w:p w:rsidR="00441C93" w:rsidRPr="005A40B5" w:rsidRDefault="00441C93" w:rsidP="000D5116">
            <w:pPr>
              <w:jc w:val="center"/>
              <w:outlineLvl w:val="0"/>
              <w:rPr>
                <w:szCs w:val="21"/>
              </w:rPr>
            </w:pP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Ｂ類</w:t>
            </w:r>
          </w:p>
        </w:tc>
        <w:tc>
          <w:tcPr>
            <w:tcW w:w="6237" w:type="dxa"/>
            <w:shd w:val="clear" w:color="auto" w:fill="auto"/>
          </w:tcPr>
          <w:p w:rsidR="00441C93" w:rsidRPr="005A40B5" w:rsidRDefault="00441C93" w:rsidP="000D5116">
            <w:pPr>
              <w:ind w:firstLineChars="100" w:firstLine="210"/>
              <w:outlineLvl w:val="0"/>
              <w:rPr>
                <w:szCs w:val="21"/>
              </w:rPr>
            </w:pPr>
            <w:r w:rsidRPr="005A40B5">
              <w:rPr>
                <w:rFonts w:hint="eastAsia"/>
                <w:szCs w:val="21"/>
              </w:rPr>
              <w:t>大地震動により建築非構造材の損傷、移動等が発生する場合でも、人命の安全確保と二次災害の防止が図れるものとする。</w:t>
            </w:r>
          </w:p>
        </w:tc>
      </w:tr>
      <w:tr w:rsidR="00441C93" w:rsidRPr="005A40B5" w:rsidTr="000D5116">
        <w:tc>
          <w:tcPr>
            <w:tcW w:w="1843" w:type="dxa"/>
            <w:vMerge w:val="restart"/>
            <w:shd w:val="clear" w:color="auto" w:fill="auto"/>
            <w:vAlign w:val="center"/>
          </w:tcPr>
          <w:p w:rsidR="00441C93" w:rsidRPr="005A40B5" w:rsidRDefault="00441C93" w:rsidP="000D5116">
            <w:pPr>
              <w:jc w:val="center"/>
              <w:outlineLvl w:val="0"/>
              <w:rPr>
                <w:szCs w:val="21"/>
              </w:rPr>
            </w:pPr>
            <w:r w:rsidRPr="005A40B5">
              <w:rPr>
                <w:rFonts w:hint="eastAsia"/>
                <w:szCs w:val="21"/>
              </w:rPr>
              <w:t>建築設備</w:t>
            </w: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甲類</w:t>
            </w:r>
          </w:p>
        </w:tc>
        <w:tc>
          <w:tcPr>
            <w:tcW w:w="6237" w:type="dxa"/>
            <w:shd w:val="clear" w:color="auto" w:fill="auto"/>
          </w:tcPr>
          <w:p w:rsidR="00441C93" w:rsidRPr="005A40B5" w:rsidRDefault="00441C93" w:rsidP="000D5116">
            <w:pPr>
              <w:outlineLvl w:val="0"/>
              <w:rPr>
                <w:szCs w:val="21"/>
              </w:rPr>
            </w:pPr>
            <w:r w:rsidRPr="005A40B5">
              <w:rPr>
                <w:rFonts w:hint="eastAsia"/>
                <w:szCs w:val="21"/>
              </w:rPr>
              <w:t xml:space="preserve">　</w:t>
            </w:r>
            <w:r w:rsidRPr="005D7105">
              <w:rPr>
                <w:rFonts w:hint="eastAsia"/>
                <w:szCs w:val="21"/>
                <w:u w:val="single"/>
              </w:rPr>
              <w:t>大地震動後</w:t>
            </w:r>
            <w:r w:rsidRPr="005A40B5">
              <w:rPr>
                <w:rFonts w:hint="eastAsia"/>
                <w:szCs w:val="21"/>
              </w:rPr>
              <w:t>の人命の安全確保及び二次災害の防止が図られているとともに、</w:t>
            </w:r>
            <w:r w:rsidRPr="005D7105">
              <w:rPr>
                <w:rFonts w:hint="eastAsia"/>
                <w:szCs w:val="21"/>
                <w:u w:val="single"/>
              </w:rPr>
              <w:t>大きな補修をすることなく、必要な設備機能を相当期間継続できることを目標</w:t>
            </w:r>
            <w:r w:rsidRPr="005A40B5">
              <w:rPr>
                <w:rFonts w:hint="eastAsia"/>
                <w:szCs w:val="21"/>
              </w:rPr>
              <w:t>とする。</w:t>
            </w:r>
          </w:p>
        </w:tc>
      </w:tr>
      <w:tr w:rsidR="00441C93" w:rsidRPr="005A40B5" w:rsidTr="000D5116">
        <w:tc>
          <w:tcPr>
            <w:tcW w:w="1843" w:type="dxa"/>
            <w:vMerge/>
            <w:shd w:val="clear" w:color="auto" w:fill="auto"/>
          </w:tcPr>
          <w:p w:rsidR="00441C93" w:rsidRPr="005A40B5" w:rsidRDefault="00441C93" w:rsidP="000D5116">
            <w:pPr>
              <w:outlineLvl w:val="0"/>
              <w:rPr>
                <w:szCs w:val="21"/>
              </w:rPr>
            </w:pPr>
          </w:p>
        </w:tc>
        <w:tc>
          <w:tcPr>
            <w:tcW w:w="992" w:type="dxa"/>
            <w:shd w:val="clear" w:color="auto" w:fill="auto"/>
            <w:vAlign w:val="center"/>
          </w:tcPr>
          <w:p w:rsidR="00441C93" w:rsidRPr="005A40B5" w:rsidRDefault="00441C93" w:rsidP="000D5116">
            <w:pPr>
              <w:jc w:val="center"/>
              <w:outlineLvl w:val="0"/>
              <w:rPr>
                <w:szCs w:val="21"/>
              </w:rPr>
            </w:pPr>
            <w:r w:rsidRPr="005A40B5">
              <w:rPr>
                <w:rFonts w:hint="eastAsia"/>
                <w:szCs w:val="21"/>
              </w:rPr>
              <w:t>乙類</w:t>
            </w:r>
          </w:p>
        </w:tc>
        <w:tc>
          <w:tcPr>
            <w:tcW w:w="6237" w:type="dxa"/>
            <w:shd w:val="clear" w:color="auto" w:fill="auto"/>
          </w:tcPr>
          <w:p w:rsidR="00441C93" w:rsidRPr="005A40B5" w:rsidRDefault="00441C93" w:rsidP="000D5116">
            <w:pPr>
              <w:outlineLvl w:val="0"/>
              <w:rPr>
                <w:szCs w:val="21"/>
              </w:rPr>
            </w:pPr>
            <w:r w:rsidRPr="005A40B5">
              <w:rPr>
                <w:rFonts w:hint="eastAsia"/>
                <w:szCs w:val="21"/>
              </w:rPr>
              <w:t xml:space="preserve">　大地震動後の人命の安全確保及び二次災害の防止が図られていることを目標とする。</w:t>
            </w:r>
          </w:p>
        </w:tc>
      </w:tr>
    </w:tbl>
    <w:p w:rsidR="00441C93" w:rsidRDefault="00441C93" w:rsidP="00441C93">
      <w:pPr>
        <w:rPr>
          <w:rFonts w:ascii="ＭＳ Ｐ明朝" w:eastAsia="ＭＳ Ｐ明朝" w:hAnsi="ＭＳ Ｐ明朝"/>
          <w:sz w:val="22"/>
        </w:rPr>
      </w:pPr>
    </w:p>
    <w:p w:rsidR="00441C93" w:rsidRDefault="00441C93" w:rsidP="00441C93">
      <w:pPr>
        <w:rPr>
          <w:rFonts w:ascii="ＭＳ Ｐ明朝" w:eastAsia="ＭＳ Ｐ明朝" w:hAnsi="ＭＳ Ｐ明朝"/>
          <w:sz w:val="22"/>
        </w:rPr>
      </w:pPr>
      <w:r w:rsidRPr="00321A1A">
        <w:rPr>
          <w:rFonts w:ascii="ＭＳ Ｐ明朝" w:eastAsia="ＭＳ Ｐ明朝" w:hAnsi="ＭＳ Ｐ明朝" w:hint="eastAsia"/>
          <w:sz w:val="22"/>
        </w:rPr>
        <w:t>（参考）</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61"/>
        <w:gridCol w:w="4252"/>
      </w:tblGrid>
      <w:tr w:rsidR="00441C93" w:rsidRPr="00830E9C" w:rsidTr="000D5116">
        <w:tc>
          <w:tcPr>
            <w:tcW w:w="1559" w:type="dxa"/>
            <w:shd w:val="clear" w:color="auto" w:fill="auto"/>
          </w:tcPr>
          <w:p w:rsidR="00441C93" w:rsidRPr="00830E9C" w:rsidRDefault="00441C93" w:rsidP="000D5116">
            <w:pPr>
              <w:jc w:val="center"/>
              <w:outlineLvl w:val="0"/>
              <w:rPr>
                <w:rFonts w:ascii="ＭＳ Ｐ明朝" w:eastAsia="ＭＳ Ｐ明朝" w:hAnsi="ＭＳ Ｐ明朝"/>
                <w:sz w:val="22"/>
              </w:rPr>
            </w:pPr>
            <w:r w:rsidRPr="00830E9C">
              <w:rPr>
                <w:rFonts w:ascii="ＭＳ Ｐ明朝" w:eastAsia="ＭＳ Ｐ明朝" w:hAnsi="ＭＳ Ｐ明朝" w:hint="eastAsia"/>
                <w:sz w:val="22"/>
              </w:rPr>
              <w:t>自治体</w:t>
            </w:r>
          </w:p>
        </w:tc>
        <w:tc>
          <w:tcPr>
            <w:tcW w:w="3261" w:type="dxa"/>
            <w:shd w:val="clear" w:color="auto" w:fill="auto"/>
          </w:tcPr>
          <w:p w:rsidR="00441C93" w:rsidRPr="00830E9C" w:rsidRDefault="00441C93" w:rsidP="000D5116">
            <w:pPr>
              <w:jc w:val="center"/>
              <w:outlineLvl w:val="0"/>
              <w:rPr>
                <w:rFonts w:ascii="ＭＳ Ｐ明朝" w:eastAsia="ＭＳ Ｐ明朝" w:hAnsi="ＭＳ Ｐ明朝"/>
                <w:sz w:val="22"/>
              </w:rPr>
            </w:pPr>
            <w:r w:rsidRPr="00830E9C">
              <w:rPr>
                <w:rFonts w:ascii="ＭＳ Ｐ明朝" w:eastAsia="ＭＳ Ｐ明朝" w:hAnsi="ＭＳ Ｐ明朝" w:hint="eastAsia"/>
                <w:sz w:val="22"/>
              </w:rPr>
              <w:t>対象施設</w:t>
            </w:r>
          </w:p>
        </w:tc>
        <w:tc>
          <w:tcPr>
            <w:tcW w:w="4252" w:type="dxa"/>
            <w:shd w:val="clear" w:color="auto" w:fill="auto"/>
          </w:tcPr>
          <w:p w:rsidR="00441C93" w:rsidRPr="00830E9C" w:rsidRDefault="00441C93" w:rsidP="000D5116">
            <w:pPr>
              <w:jc w:val="center"/>
              <w:outlineLvl w:val="0"/>
              <w:rPr>
                <w:rFonts w:ascii="ＭＳ Ｐ明朝" w:eastAsia="ＭＳ Ｐ明朝" w:hAnsi="ＭＳ Ｐ明朝"/>
                <w:sz w:val="22"/>
              </w:rPr>
            </w:pPr>
            <w:r w:rsidRPr="00830E9C">
              <w:rPr>
                <w:rFonts w:ascii="ＭＳ Ｐ明朝" w:eastAsia="ＭＳ Ｐ明朝" w:hAnsi="ＭＳ Ｐ明朝" w:hint="eastAsia"/>
                <w:sz w:val="22"/>
              </w:rPr>
              <w:t>耐震安全性分類</w:t>
            </w:r>
          </w:p>
        </w:tc>
      </w:tr>
      <w:tr w:rsidR="00441C93" w:rsidRPr="00830E9C" w:rsidTr="000D5116">
        <w:tc>
          <w:tcPr>
            <w:tcW w:w="1559" w:type="dxa"/>
            <w:vMerge w:val="restart"/>
            <w:shd w:val="clear" w:color="auto" w:fill="auto"/>
            <w:vAlign w:val="center"/>
          </w:tcPr>
          <w:p w:rsidR="00441C93" w:rsidRPr="00830E9C" w:rsidRDefault="00441C93" w:rsidP="000D5116">
            <w:pPr>
              <w:jc w:val="center"/>
              <w:outlineLvl w:val="0"/>
              <w:rPr>
                <w:rFonts w:ascii="ＭＳ Ｐ明朝" w:eastAsia="ＭＳ Ｐ明朝" w:hAnsi="ＭＳ Ｐ明朝"/>
                <w:sz w:val="22"/>
              </w:rPr>
            </w:pPr>
            <w:r w:rsidRPr="00830E9C">
              <w:rPr>
                <w:rFonts w:ascii="ＭＳ Ｐ明朝" w:eastAsia="ＭＳ Ｐ明朝" w:hAnsi="ＭＳ Ｐ明朝" w:hint="eastAsia"/>
                <w:sz w:val="22"/>
              </w:rPr>
              <w:t>国の機関</w:t>
            </w:r>
          </w:p>
        </w:tc>
        <w:tc>
          <w:tcPr>
            <w:tcW w:w="3261"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省庁、局</w:t>
            </w:r>
          </w:p>
        </w:tc>
        <w:tc>
          <w:tcPr>
            <w:tcW w:w="4252"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Ⅰ類・Ａ類・甲類</w:t>
            </w:r>
          </w:p>
        </w:tc>
      </w:tr>
      <w:tr w:rsidR="00441C93" w:rsidRPr="00830E9C" w:rsidTr="000D5116">
        <w:tc>
          <w:tcPr>
            <w:tcW w:w="1559" w:type="dxa"/>
            <w:vMerge/>
            <w:shd w:val="clear" w:color="auto" w:fill="auto"/>
            <w:vAlign w:val="center"/>
          </w:tcPr>
          <w:p w:rsidR="00441C93" w:rsidRPr="00830E9C" w:rsidRDefault="00441C93" w:rsidP="000D5116">
            <w:pPr>
              <w:jc w:val="center"/>
              <w:outlineLvl w:val="0"/>
              <w:rPr>
                <w:rFonts w:ascii="ＭＳ Ｐ明朝" w:eastAsia="ＭＳ Ｐ明朝" w:hAnsi="ＭＳ Ｐ明朝"/>
                <w:sz w:val="22"/>
              </w:rPr>
            </w:pPr>
          </w:p>
        </w:tc>
        <w:tc>
          <w:tcPr>
            <w:tcW w:w="3261"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局のうちブロック機関</w:t>
            </w:r>
          </w:p>
        </w:tc>
        <w:tc>
          <w:tcPr>
            <w:tcW w:w="4252"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Ⅱ類・Ａ類・甲類</w:t>
            </w:r>
          </w:p>
        </w:tc>
      </w:tr>
      <w:tr w:rsidR="00441C93" w:rsidRPr="00830E9C" w:rsidTr="000D5116">
        <w:tc>
          <w:tcPr>
            <w:tcW w:w="1559" w:type="dxa"/>
            <w:vMerge w:val="restart"/>
            <w:shd w:val="clear" w:color="auto" w:fill="auto"/>
            <w:vAlign w:val="center"/>
          </w:tcPr>
          <w:p w:rsidR="00441C93" w:rsidRPr="00830E9C" w:rsidRDefault="00441C93" w:rsidP="000D5116">
            <w:pPr>
              <w:jc w:val="center"/>
              <w:outlineLvl w:val="0"/>
              <w:rPr>
                <w:rFonts w:ascii="ＭＳ Ｐ明朝" w:eastAsia="ＭＳ Ｐ明朝" w:hAnsi="ＭＳ Ｐ明朝"/>
                <w:sz w:val="22"/>
              </w:rPr>
            </w:pPr>
            <w:r w:rsidRPr="00830E9C">
              <w:rPr>
                <w:rFonts w:ascii="ＭＳ Ｐ明朝" w:eastAsia="ＭＳ Ｐ明朝" w:hAnsi="ＭＳ Ｐ明朝" w:hint="eastAsia"/>
                <w:sz w:val="22"/>
              </w:rPr>
              <w:t>広島市</w:t>
            </w:r>
          </w:p>
        </w:tc>
        <w:tc>
          <w:tcPr>
            <w:tcW w:w="3261"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本庁舎・区役所庁舎</w:t>
            </w:r>
          </w:p>
        </w:tc>
        <w:tc>
          <w:tcPr>
            <w:tcW w:w="4252"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Ⅰ類・Ａ類・甲類</w:t>
            </w:r>
          </w:p>
        </w:tc>
      </w:tr>
      <w:tr w:rsidR="00441C93" w:rsidRPr="00830E9C" w:rsidTr="000D5116">
        <w:tc>
          <w:tcPr>
            <w:tcW w:w="1559" w:type="dxa"/>
            <w:vMerge/>
            <w:shd w:val="clear" w:color="auto" w:fill="auto"/>
            <w:vAlign w:val="center"/>
          </w:tcPr>
          <w:p w:rsidR="00441C93" w:rsidRPr="00830E9C" w:rsidRDefault="00441C93" w:rsidP="000D5116">
            <w:pPr>
              <w:jc w:val="center"/>
              <w:outlineLvl w:val="0"/>
              <w:rPr>
                <w:rFonts w:ascii="ＭＳ Ｐ明朝" w:eastAsia="ＭＳ Ｐ明朝" w:hAnsi="ＭＳ Ｐ明朝"/>
                <w:sz w:val="22"/>
              </w:rPr>
            </w:pPr>
          </w:p>
        </w:tc>
        <w:tc>
          <w:tcPr>
            <w:tcW w:w="3261"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区役所出張所</w:t>
            </w:r>
          </w:p>
        </w:tc>
        <w:tc>
          <w:tcPr>
            <w:tcW w:w="4252"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Ⅱ類・Ａ類・甲類</w:t>
            </w:r>
          </w:p>
        </w:tc>
      </w:tr>
      <w:tr w:rsidR="00441C93" w:rsidRPr="00830E9C" w:rsidTr="000D5116">
        <w:tc>
          <w:tcPr>
            <w:tcW w:w="1559" w:type="dxa"/>
            <w:vMerge w:val="restart"/>
            <w:shd w:val="clear" w:color="auto" w:fill="auto"/>
            <w:vAlign w:val="center"/>
          </w:tcPr>
          <w:p w:rsidR="00441C93" w:rsidRPr="00830E9C" w:rsidRDefault="00441C93" w:rsidP="000D5116">
            <w:pPr>
              <w:jc w:val="center"/>
              <w:outlineLvl w:val="0"/>
              <w:rPr>
                <w:rFonts w:ascii="ＭＳ Ｐ明朝" w:eastAsia="ＭＳ Ｐ明朝" w:hAnsi="ＭＳ Ｐ明朝"/>
                <w:sz w:val="22"/>
              </w:rPr>
            </w:pPr>
            <w:r w:rsidRPr="00830E9C">
              <w:rPr>
                <w:rFonts w:ascii="ＭＳ Ｐ明朝" w:eastAsia="ＭＳ Ｐ明朝" w:hAnsi="ＭＳ Ｐ明朝" w:hint="eastAsia"/>
                <w:sz w:val="22"/>
              </w:rPr>
              <w:t>大阪市</w:t>
            </w:r>
          </w:p>
        </w:tc>
        <w:tc>
          <w:tcPr>
            <w:tcW w:w="3261"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市庁舎、分庁舎</w:t>
            </w:r>
          </w:p>
        </w:tc>
        <w:tc>
          <w:tcPr>
            <w:tcW w:w="4252"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Ⅰ類・Ａ類・甲類</w:t>
            </w:r>
          </w:p>
        </w:tc>
      </w:tr>
      <w:tr w:rsidR="00441C93" w:rsidRPr="00830E9C" w:rsidTr="000D5116">
        <w:tc>
          <w:tcPr>
            <w:tcW w:w="1559" w:type="dxa"/>
            <w:vMerge/>
            <w:shd w:val="clear" w:color="auto" w:fill="auto"/>
          </w:tcPr>
          <w:p w:rsidR="00441C93" w:rsidRPr="00830E9C" w:rsidRDefault="00441C93" w:rsidP="000D5116">
            <w:pPr>
              <w:outlineLvl w:val="0"/>
              <w:rPr>
                <w:rFonts w:ascii="ＭＳ Ｐ明朝" w:eastAsia="ＭＳ Ｐ明朝" w:hAnsi="ＭＳ Ｐ明朝"/>
                <w:sz w:val="22"/>
              </w:rPr>
            </w:pPr>
          </w:p>
        </w:tc>
        <w:tc>
          <w:tcPr>
            <w:tcW w:w="3261"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区役所</w:t>
            </w:r>
          </w:p>
        </w:tc>
        <w:tc>
          <w:tcPr>
            <w:tcW w:w="4252" w:type="dxa"/>
            <w:shd w:val="clear" w:color="auto" w:fill="auto"/>
          </w:tcPr>
          <w:p w:rsidR="00441C93" w:rsidRPr="00830E9C" w:rsidRDefault="00441C93" w:rsidP="000D5116">
            <w:pPr>
              <w:outlineLvl w:val="0"/>
              <w:rPr>
                <w:rFonts w:ascii="ＭＳ Ｐ明朝" w:eastAsia="ＭＳ Ｐ明朝" w:hAnsi="ＭＳ Ｐ明朝"/>
                <w:sz w:val="22"/>
              </w:rPr>
            </w:pPr>
            <w:r w:rsidRPr="00830E9C">
              <w:rPr>
                <w:rFonts w:ascii="ＭＳ Ｐ明朝" w:eastAsia="ＭＳ Ｐ明朝" w:hAnsi="ＭＳ Ｐ明朝" w:hint="eastAsia"/>
                <w:sz w:val="22"/>
              </w:rPr>
              <w:t>Ⅱ類・Ａ類・甲類</w:t>
            </w:r>
          </w:p>
        </w:tc>
      </w:tr>
    </w:tbl>
    <w:p w:rsidR="00F70B93" w:rsidRDefault="00F70B93" w:rsidP="00F70B93">
      <w:pPr>
        <w:outlineLvl w:val="0"/>
        <w:rPr>
          <w:sz w:val="24"/>
        </w:rPr>
      </w:pPr>
    </w:p>
    <w:sectPr w:rsidR="00F70B93" w:rsidSect="00F10DD2">
      <w:pgSz w:w="11906" w:h="16838" w:code="9"/>
      <w:pgMar w:top="1418" w:right="1701"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1D" w:rsidRDefault="00F1141D" w:rsidP="00253EFD">
      <w:r>
        <w:separator/>
      </w:r>
    </w:p>
  </w:endnote>
  <w:endnote w:type="continuationSeparator" w:id="0">
    <w:p w:rsidR="00F1141D" w:rsidRDefault="00F1141D" w:rsidP="0025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1D" w:rsidRDefault="00F1141D" w:rsidP="00253EFD">
      <w:r>
        <w:separator/>
      </w:r>
    </w:p>
  </w:footnote>
  <w:footnote w:type="continuationSeparator" w:id="0">
    <w:p w:rsidR="00F1141D" w:rsidRDefault="00F1141D" w:rsidP="0025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A1"/>
    <w:rsid w:val="00001302"/>
    <w:rsid w:val="00042ED3"/>
    <w:rsid w:val="00044415"/>
    <w:rsid w:val="00046E12"/>
    <w:rsid w:val="0005106C"/>
    <w:rsid w:val="00057DE4"/>
    <w:rsid w:val="00062A78"/>
    <w:rsid w:val="000642CA"/>
    <w:rsid w:val="00076540"/>
    <w:rsid w:val="000829EA"/>
    <w:rsid w:val="00084AE7"/>
    <w:rsid w:val="000A1E73"/>
    <w:rsid w:val="000B58C0"/>
    <w:rsid w:val="000B78BC"/>
    <w:rsid w:val="000C4B47"/>
    <w:rsid w:val="000D5116"/>
    <w:rsid w:val="000F2EDE"/>
    <w:rsid w:val="00100E5F"/>
    <w:rsid w:val="00107E2F"/>
    <w:rsid w:val="00117C64"/>
    <w:rsid w:val="0012034C"/>
    <w:rsid w:val="00120942"/>
    <w:rsid w:val="0013314E"/>
    <w:rsid w:val="00133A73"/>
    <w:rsid w:val="001471C2"/>
    <w:rsid w:val="00155984"/>
    <w:rsid w:val="001731D7"/>
    <w:rsid w:val="001733EA"/>
    <w:rsid w:val="0018627E"/>
    <w:rsid w:val="001A07FA"/>
    <w:rsid w:val="001B7192"/>
    <w:rsid w:val="001C0DE8"/>
    <w:rsid w:val="001C6366"/>
    <w:rsid w:val="001C7DD9"/>
    <w:rsid w:val="001F6E37"/>
    <w:rsid w:val="0020246E"/>
    <w:rsid w:val="00203227"/>
    <w:rsid w:val="00210F9F"/>
    <w:rsid w:val="00213669"/>
    <w:rsid w:val="00215112"/>
    <w:rsid w:val="002330B2"/>
    <w:rsid w:val="00237DF7"/>
    <w:rsid w:val="00246C81"/>
    <w:rsid w:val="0024733E"/>
    <w:rsid w:val="00253EFD"/>
    <w:rsid w:val="00255EA8"/>
    <w:rsid w:val="00263EA4"/>
    <w:rsid w:val="002A398D"/>
    <w:rsid w:val="002B1821"/>
    <w:rsid w:val="002B338B"/>
    <w:rsid w:val="002C02AE"/>
    <w:rsid w:val="002F4933"/>
    <w:rsid w:val="00300B2C"/>
    <w:rsid w:val="0030569B"/>
    <w:rsid w:val="00307F84"/>
    <w:rsid w:val="00321222"/>
    <w:rsid w:val="003379B1"/>
    <w:rsid w:val="0035706E"/>
    <w:rsid w:val="00366E41"/>
    <w:rsid w:val="00366EFB"/>
    <w:rsid w:val="00383592"/>
    <w:rsid w:val="00396AEB"/>
    <w:rsid w:val="003A77C6"/>
    <w:rsid w:val="003B0A8D"/>
    <w:rsid w:val="003C1D85"/>
    <w:rsid w:val="003D31EC"/>
    <w:rsid w:val="00421E2A"/>
    <w:rsid w:val="00424F22"/>
    <w:rsid w:val="004252AD"/>
    <w:rsid w:val="0042601A"/>
    <w:rsid w:val="00427522"/>
    <w:rsid w:val="0043583B"/>
    <w:rsid w:val="004362D0"/>
    <w:rsid w:val="00441C93"/>
    <w:rsid w:val="00463A18"/>
    <w:rsid w:val="0047179C"/>
    <w:rsid w:val="0048271F"/>
    <w:rsid w:val="00484487"/>
    <w:rsid w:val="00487FBE"/>
    <w:rsid w:val="004A009C"/>
    <w:rsid w:val="004A5CB4"/>
    <w:rsid w:val="004B544C"/>
    <w:rsid w:val="004E4939"/>
    <w:rsid w:val="004F1AA0"/>
    <w:rsid w:val="00504A7F"/>
    <w:rsid w:val="0050505F"/>
    <w:rsid w:val="005078BE"/>
    <w:rsid w:val="005376D8"/>
    <w:rsid w:val="00541A42"/>
    <w:rsid w:val="00544F79"/>
    <w:rsid w:val="00547C1C"/>
    <w:rsid w:val="005520A1"/>
    <w:rsid w:val="00557C1A"/>
    <w:rsid w:val="00566B0B"/>
    <w:rsid w:val="0057389C"/>
    <w:rsid w:val="00574367"/>
    <w:rsid w:val="005745D0"/>
    <w:rsid w:val="00581CDF"/>
    <w:rsid w:val="00585CDA"/>
    <w:rsid w:val="005A602E"/>
    <w:rsid w:val="005E19AE"/>
    <w:rsid w:val="005E4F90"/>
    <w:rsid w:val="005F3D9B"/>
    <w:rsid w:val="00602F08"/>
    <w:rsid w:val="00625BC8"/>
    <w:rsid w:val="0063786A"/>
    <w:rsid w:val="0064332E"/>
    <w:rsid w:val="00653261"/>
    <w:rsid w:val="00691A83"/>
    <w:rsid w:val="00693166"/>
    <w:rsid w:val="006A0776"/>
    <w:rsid w:val="006A7EE2"/>
    <w:rsid w:val="006C6C24"/>
    <w:rsid w:val="006D5822"/>
    <w:rsid w:val="006F2A88"/>
    <w:rsid w:val="0070313A"/>
    <w:rsid w:val="007033FD"/>
    <w:rsid w:val="00707717"/>
    <w:rsid w:val="00717DED"/>
    <w:rsid w:val="007217C0"/>
    <w:rsid w:val="007306DA"/>
    <w:rsid w:val="00741E14"/>
    <w:rsid w:val="00742236"/>
    <w:rsid w:val="007436B7"/>
    <w:rsid w:val="00745D11"/>
    <w:rsid w:val="00746ADF"/>
    <w:rsid w:val="00750536"/>
    <w:rsid w:val="00751AB0"/>
    <w:rsid w:val="0076501A"/>
    <w:rsid w:val="00782E69"/>
    <w:rsid w:val="00790D08"/>
    <w:rsid w:val="007914CC"/>
    <w:rsid w:val="007A6300"/>
    <w:rsid w:val="007C4990"/>
    <w:rsid w:val="007D2BAE"/>
    <w:rsid w:val="007E27F8"/>
    <w:rsid w:val="007E2C27"/>
    <w:rsid w:val="007E39FE"/>
    <w:rsid w:val="007E653F"/>
    <w:rsid w:val="007F7C00"/>
    <w:rsid w:val="008579A2"/>
    <w:rsid w:val="00862C66"/>
    <w:rsid w:val="008657EE"/>
    <w:rsid w:val="00871131"/>
    <w:rsid w:val="00871AD3"/>
    <w:rsid w:val="008746D1"/>
    <w:rsid w:val="00881CE5"/>
    <w:rsid w:val="00896C7D"/>
    <w:rsid w:val="008B5143"/>
    <w:rsid w:val="008C699F"/>
    <w:rsid w:val="008D2079"/>
    <w:rsid w:val="008D24EB"/>
    <w:rsid w:val="008D34EB"/>
    <w:rsid w:val="008D4275"/>
    <w:rsid w:val="008F6C8A"/>
    <w:rsid w:val="00901789"/>
    <w:rsid w:val="00901C2B"/>
    <w:rsid w:val="00903A67"/>
    <w:rsid w:val="009342CA"/>
    <w:rsid w:val="00952234"/>
    <w:rsid w:val="009614C7"/>
    <w:rsid w:val="00967196"/>
    <w:rsid w:val="00967365"/>
    <w:rsid w:val="0097303D"/>
    <w:rsid w:val="00973A43"/>
    <w:rsid w:val="009825C0"/>
    <w:rsid w:val="009962B0"/>
    <w:rsid w:val="00996953"/>
    <w:rsid w:val="009B22EE"/>
    <w:rsid w:val="009C26AB"/>
    <w:rsid w:val="009E398F"/>
    <w:rsid w:val="009F0478"/>
    <w:rsid w:val="009F6FFC"/>
    <w:rsid w:val="00A05EB9"/>
    <w:rsid w:val="00A20699"/>
    <w:rsid w:val="00A27C21"/>
    <w:rsid w:val="00A4489E"/>
    <w:rsid w:val="00A45C19"/>
    <w:rsid w:val="00A80228"/>
    <w:rsid w:val="00A84680"/>
    <w:rsid w:val="00AA04C5"/>
    <w:rsid w:val="00AC2090"/>
    <w:rsid w:val="00AE114D"/>
    <w:rsid w:val="00AE21FF"/>
    <w:rsid w:val="00B03646"/>
    <w:rsid w:val="00B22853"/>
    <w:rsid w:val="00B313C4"/>
    <w:rsid w:val="00B31D4C"/>
    <w:rsid w:val="00B47C13"/>
    <w:rsid w:val="00B47F21"/>
    <w:rsid w:val="00B726D8"/>
    <w:rsid w:val="00B81C24"/>
    <w:rsid w:val="00B908A2"/>
    <w:rsid w:val="00B91436"/>
    <w:rsid w:val="00BB3E87"/>
    <w:rsid w:val="00BB52B5"/>
    <w:rsid w:val="00BC1B63"/>
    <w:rsid w:val="00BC71C8"/>
    <w:rsid w:val="00BF4E45"/>
    <w:rsid w:val="00BF5882"/>
    <w:rsid w:val="00C05E6A"/>
    <w:rsid w:val="00C43162"/>
    <w:rsid w:val="00C437B9"/>
    <w:rsid w:val="00C522C2"/>
    <w:rsid w:val="00C6678A"/>
    <w:rsid w:val="00C71475"/>
    <w:rsid w:val="00C843BB"/>
    <w:rsid w:val="00C93E54"/>
    <w:rsid w:val="00CA324F"/>
    <w:rsid w:val="00CA64A7"/>
    <w:rsid w:val="00CC09D6"/>
    <w:rsid w:val="00CD0E69"/>
    <w:rsid w:val="00CE7550"/>
    <w:rsid w:val="00CF302B"/>
    <w:rsid w:val="00CF536E"/>
    <w:rsid w:val="00CF6702"/>
    <w:rsid w:val="00CF6BB6"/>
    <w:rsid w:val="00D001FF"/>
    <w:rsid w:val="00D01AED"/>
    <w:rsid w:val="00D06650"/>
    <w:rsid w:val="00D13978"/>
    <w:rsid w:val="00D57DE9"/>
    <w:rsid w:val="00D80B58"/>
    <w:rsid w:val="00DB3F61"/>
    <w:rsid w:val="00DC7A61"/>
    <w:rsid w:val="00DF468A"/>
    <w:rsid w:val="00E305A3"/>
    <w:rsid w:val="00E45F84"/>
    <w:rsid w:val="00E52750"/>
    <w:rsid w:val="00E566C3"/>
    <w:rsid w:val="00E615A7"/>
    <w:rsid w:val="00E7039B"/>
    <w:rsid w:val="00E737D3"/>
    <w:rsid w:val="00E86335"/>
    <w:rsid w:val="00EA17AB"/>
    <w:rsid w:val="00EB16CD"/>
    <w:rsid w:val="00EC075D"/>
    <w:rsid w:val="00EC16AC"/>
    <w:rsid w:val="00ED63E8"/>
    <w:rsid w:val="00F00EB6"/>
    <w:rsid w:val="00F04AF4"/>
    <w:rsid w:val="00F10DD2"/>
    <w:rsid w:val="00F1141D"/>
    <w:rsid w:val="00F2139C"/>
    <w:rsid w:val="00F4350B"/>
    <w:rsid w:val="00F70B93"/>
    <w:rsid w:val="00F7747B"/>
    <w:rsid w:val="00F804F5"/>
    <w:rsid w:val="00F8705D"/>
    <w:rsid w:val="00F9296B"/>
    <w:rsid w:val="00F93668"/>
    <w:rsid w:val="00FA330C"/>
    <w:rsid w:val="00FB7D07"/>
    <w:rsid w:val="00FC281C"/>
    <w:rsid w:val="00FC74A2"/>
    <w:rsid w:val="00FC76A9"/>
    <w:rsid w:val="00FF0C93"/>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42CA"/>
  </w:style>
  <w:style w:type="character" w:customStyle="1" w:styleId="a4">
    <w:name w:val="日付 (文字)"/>
    <w:basedOn w:val="a0"/>
    <w:link w:val="a3"/>
    <w:uiPriority w:val="99"/>
    <w:semiHidden/>
    <w:rsid w:val="009342CA"/>
  </w:style>
  <w:style w:type="paragraph" w:styleId="a5">
    <w:name w:val="header"/>
    <w:basedOn w:val="a"/>
    <w:link w:val="a6"/>
    <w:uiPriority w:val="99"/>
    <w:unhideWhenUsed/>
    <w:rsid w:val="00253EFD"/>
    <w:pPr>
      <w:tabs>
        <w:tab w:val="center" w:pos="4252"/>
        <w:tab w:val="right" w:pos="8504"/>
      </w:tabs>
      <w:snapToGrid w:val="0"/>
    </w:pPr>
  </w:style>
  <w:style w:type="character" w:customStyle="1" w:styleId="a6">
    <w:name w:val="ヘッダー (文字)"/>
    <w:basedOn w:val="a0"/>
    <w:link w:val="a5"/>
    <w:uiPriority w:val="99"/>
    <w:rsid w:val="00253EFD"/>
  </w:style>
  <w:style w:type="paragraph" w:styleId="a7">
    <w:name w:val="footer"/>
    <w:basedOn w:val="a"/>
    <w:link w:val="a8"/>
    <w:uiPriority w:val="99"/>
    <w:unhideWhenUsed/>
    <w:rsid w:val="00253EFD"/>
    <w:pPr>
      <w:tabs>
        <w:tab w:val="center" w:pos="4252"/>
        <w:tab w:val="right" w:pos="8504"/>
      </w:tabs>
      <w:snapToGrid w:val="0"/>
    </w:pPr>
  </w:style>
  <w:style w:type="character" w:customStyle="1" w:styleId="a8">
    <w:name w:val="フッター (文字)"/>
    <w:basedOn w:val="a0"/>
    <w:link w:val="a7"/>
    <w:uiPriority w:val="99"/>
    <w:rsid w:val="00253EFD"/>
  </w:style>
  <w:style w:type="paragraph" w:styleId="a9">
    <w:name w:val="Balloon Text"/>
    <w:basedOn w:val="a"/>
    <w:link w:val="aa"/>
    <w:uiPriority w:val="99"/>
    <w:semiHidden/>
    <w:unhideWhenUsed/>
    <w:rsid w:val="00B81C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1C24"/>
    <w:rPr>
      <w:rFonts w:asciiTheme="majorHAnsi" w:eastAsiaTheme="majorEastAsia" w:hAnsiTheme="majorHAnsi" w:cstheme="majorBidi"/>
      <w:sz w:val="18"/>
      <w:szCs w:val="18"/>
    </w:rPr>
  </w:style>
  <w:style w:type="table" w:styleId="ab">
    <w:name w:val="Table Grid"/>
    <w:basedOn w:val="a1"/>
    <w:uiPriority w:val="59"/>
    <w:rsid w:val="0012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42CA"/>
  </w:style>
  <w:style w:type="character" w:customStyle="1" w:styleId="a4">
    <w:name w:val="日付 (文字)"/>
    <w:basedOn w:val="a0"/>
    <w:link w:val="a3"/>
    <w:uiPriority w:val="99"/>
    <w:semiHidden/>
    <w:rsid w:val="009342CA"/>
  </w:style>
  <w:style w:type="paragraph" w:styleId="a5">
    <w:name w:val="header"/>
    <w:basedOn w:val="a"/>
    <w:link w:val="a6"/>
    <w:uiPriority w:val="99"/>
    <w:unhideWhenUsed/>
    <w:rsid w:val="00253EFD"/>
    <w:pPr>
      <w:tabs>
        <w:tab w:val="center" w:pos="4252"/>
        <w:tab w:val="right" w:pos="8504"/>
      </w:tabs>
      <w:snapToGrid w:val="0"/>
    </w:pPr>
  </w:style>
  <w:style w:type="character" w:customStyle="1" w:styleId="a6">
    <w:name w:val="ヘッダー (文字)"/>
    <w:basedOn w:val="a0"/>
    <w:link w:val="a5"/>
    <w:uiPriority w:val="99"/>
    <w:rsid w:val="00253EFD"/>
  </w:style>
  <w:style w:type="paragraph" w:styleId="a7">
    <w:name w:val="footer"/>
    <w:basedOn w:val="a"/>
    <w:link w:val="a8"/>
    <w:uiPriority w:val="99"/>
    <w:unhideWhenUsed/>
    <w:rsid w:val="00253EFD"/>
    <w:pPr>
      <w:tabs>
        <w:tab w:val="center" w:pos="4252"/>
        <w:tab w:val="right" w:pos="8504"/>
      </w:tabs>
      <w:snapToGrid w:val="0"/>
    </w:pPr>
  </w:style>
  <w:style w:type="character" w:customStyle="1" w:styleId="a8">
    <w:name w:val="フッター (文字)"/>
    <w:basedOn w:val="a0"/>
    <w:link w:val="a7"/>
    <w:uiPriority w:val="99"/>
    <w:rsid w:val="00253EFD"/>
  </w:style>
  <w:style w:type="paragraph" w:styleId="a9">
    <w:name w:val="Balloon Text"/>
    <w:basedOn w:val="a"/>
    <w:link w:val="aa"/>
    <w:uiPriority w:val="99"/>
    <w:semiHidden/>
    <w:unhideWhenUsed/>
    <w:rsid w:val="00B81C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1C24"/>
    <w:rPr>
      <w:rFonts w:asciiTheme="majorHAnsi" w:eastAsiaTheme="majorEastAsia" w:hAnsiTheme="majorHAnsi" w:cstheme="majorBidi"/>
      <w:sz w:val="18"/>
      <w:szCs w:val="18"/>
    </w:rPr>
  </w:style>
  <w:style w:type="table" w:styleId="ab">
    <w:name w:val="Table Grid"/>
    <w:basedOn w:val="a1"/>
    <w:uiPriority w:val="59"/>
    <w:rsid w:val="0012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tottoriadmin</dc:creator>
  <cp:keywords/>
  <dc:description/>
  <cp:lastModifiedBy>tottoriadmin</cp:lastModifiedBy>
  <cp:revision>34</cp:revision>
  <cp:lastPrinted>2015-04-14T04:07:00Z</cp:lastPrinted>
  <dcterms:created xsi:type="dcterms:W3CDTF">2015-01-09T00:54:00Z</dcterms:created>
  <dcterms:modified xsi:type="dcterms:W3CDTF">2015-04-14T04:07:00Z</dcterms:modified>
</cp:coreProperties>
</file>