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right" w:tblpY="1"/>
        <w:tblOverlap w:val="never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827"/>
      </w:tblGrid>
      <w:tr w:rsidR="00284D63" w:rsidRPr="002C0770" w:rsidTr="006E725F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C07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資料提供</w:t>
            </w:r>
          </w:p>
        </w:tc>
      </w:tr>
      <w:tr w:rsidR="00284D63" w:rsidRPr="002C0770" w:rsidTr="006E725F">
        <w:trPr>
          <w:trHeight w:val="18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Pr="002C0770" w:rsidRDefault="00284D63" w:rsidP="006E72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令和</w:t>
            </w:r>
            <w:r w:rsidR="00C31A5A">
              <w:rPr>
                <w:rFonts w:ascii="ＭＳ 明朝" w:hAnsi="ＭＳ 明朝" w:cs="ＭＳ 明朝" w:hint="eastAsia"/>
                <w:kern w:val="0"/>
                <w:szCs w:val="21"/>
              </w:rPr>
              <w:t>5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  <w:r w:rsidR="00C31A5A">
              <w:rPr>
                <w:rFonts w:ascii="ＭＳ 明朝" w:hAnsi="ＭＳ 明朝" w:cs="ＭＳ 明朝" w:hint="eastAsia"/>
                <w:kern w:val="0"/>
                <w:szCs w:val="21"/>
              </w:rPr>
              <w:t>6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月</w:t>
            </w:r>
            <w:r w:rsidR="00C31A5A"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  <w:r w:rsidRPr="002C077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C31A5A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担当課(担当者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284D63" w:rsidRPr="002C0770" w:rsidRDefault="00284D63" w:rsidP="00C31A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＜湯梨浜町、米子市の水質結果＞</w:t>
            </w:r>
          </w:p>
          <w:p w:rsidR="002F5FC3" w:rsidRPr="002F5FC3" w:rsidRDefault="00C31A5A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 w:firstLineChars="100" w:firstLine="194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鳥取県水環境保全課(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田中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)</w:t>
            </w:r>
          </w:p>
          <w:p w:rsidR="00284D6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84" w:left="350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26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7197</w:t>
            </w:r>
          </w:p>
        </w:tc>
      </w:tr>
      <w:tr w:rsidR="00284D63" w:rsidRPr="002C0770" w:rsidTr="006E725F">
        <w:trPr>
          <w:trHeight w:val="5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3" w:rsidRDefault="002721C7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＜エリア＞</w:t>
            </w:r>
          </w:p>
          <w:p w:rsidR="00284D63" w:rsidRDefault="00C31A5A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担当課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担当者)</w:t>
            </w:r>
          </w:p>
          <w:p w:rsidR="00284D63" w:rsidRPr="002C0770" w:rsidRDefault="00284D63" w:rsidP="00284D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73" w:left="139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C3" w:rsidRPr="002F5FC3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100" w:left="19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＜鳥取市、岩美町の水質結果＞</w:t>
            </w:r>
          </w:p>
          <w:p w:rsidR="002F5FC3" w:rsidRPr="002F5FC3" w:rsidRDefault="0002325D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200" w:firstLine="389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鳥取市環境保全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課(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中本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)</w:t>
            </w:r>
          </w:p>
          <w:p w:rsidR="00284D63" w:rsidRPr="000B72E7" w:rsidRDefault="002F5FC3" w:rsidP="002F5F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200" w:left="381" w:firstLineChars="100" w:firstLine="19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0857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30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-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  <w:t>8</w:t>
            </w:r>
            <w:r w:rsidR="0002325D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0</w:t>
            </w:r>
            <w:r w:rsidR="0002325D"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  <w:t>9</w:t>
            </w:r>
            <w:r w:rsidRPr="002F5FC3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</w:tr>
    </w:tbl>
    <w:p w:rsidR="00FC739E" w:rsidRPr="002C0770" w:rsidRDefault="00FC739E" w:rsidP="00330424">
      <w:pPr>
        <w:suppressAutoHyphens/>
        <w:spacing w:line="34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/>
          <w:color w:val="000000"/>
          <w:spacing w:val="2"/>
          <w:kern w:val="0"/>
          <w:szCs w:val="21"/>
        </w:rPr>
        <w:br w:type="textWrapping" w:clear="all"/>
      </w:r>
    </w:p>
    <w:p w:rsidR="00FC739E" w:rsidRPr="002C0770" w:rsidRDefault="0048456A" w:rsidP="0033042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="00C31A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年度海水浴場水質調査結果(開設前調査)</w:t>
      </w:r>
    </w:p>
    <w:p w:rsidR="00FC739E" w:rsidRPr="00CF0039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FC739E" w:rsidRPr="002C0770" w:rsidRDefault="00C8525A" w:rsidP="006E725F">
      <w:pPr>
        <w:suppressAutoHyphens/>
        <w:spacing w:line="260" w:lineRule="exact"/>
        <w:ind w:rightChars="-79" w:right="-150" w:firstLineChars="100" w:firstLine="19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月に実施した海水浴場の開設前水質調査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(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開設予定</w:t>
      </w:r>
      <w:r w:rsidR="00CF003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9ヵ所)</w:t>
      </w:r>
      <w:r w:rsidR="00FC739E" w:rsidRPr="002C077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の結果は、下記のとおり良好でした。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739E" w:rsidRPr="002C0770" w:rsidRDefault="00FC739E" w:rsidP="00330424">
      <w:pPr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2C0770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:rsidR="00FC739E" w:rsidRPr="002C0770" w:rsidRDefault="00FC739E" w:rsidP="00330424">
      <w:pPr>
        <w:suppressAutoHyphens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１　水質調査結果</w:t>
      </w:r>
    </w:p>
    <w:p w:rsidR="001C183B" w:rsidRDefault="00FC739E" w:rsidP="001C183B">
      <w:pPr>
        <w:suppressAutoHyphens/>
        <w:spacing w:line="260" w:lineRule="exact"/>
        <w:ind w:left="19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鳥取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県内における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開設予定の</w:t>
      </w:r>
      <w:r w:rsidR="00CF0039">
        <w:rPr>
          <w:rFonts w:ascii="ＭＳ 明朝" w:hAnsi="ＭＳ 明朝" w:cs="ＭＳ 明朝" w:hint="eastAsia"/>
          <w:color w:val="000000"/>
          <w:kern w:val="0"/>
          <w:szCs w:val="21"/>
        </w:rPr>
        <w:t>9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ヵ所の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海水浴場の水質は、</w:t>
      </w:r>
      <w:r w:rsidR="004D2133">
        <w:rPr>
          <w:rFonts w:ascii="ＭＳ 明朝" w:hAnsi="ＭＳ 明朝" w:cs="ＭＳ 明朝" w:hint="eastAsia"/>
          <w:color w:val="000000"/>
          <w:kern w:val="0"/>
          <w:szCs w:val="21"/>
        </w:rPr>
        <w:t>いずれも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環境省の定める海水浴場水質判定基準における「水質AA」</w:t>
      </w:r>
      <w:r w:rsidR="0002325D">
        <w:rPr>
          <w:rFonts w:ascii="ＭＳ 明朝" w:hAnsi="ＭＳ 明朝" w:cs="ＭＳ 明朝" w:hint="eastAsia"/>
          <w:color w:val="000000"/>
          <w:kern w:val="0"/>
          <w:szCs w:val="21"/>
        </w:rPr>
        <w:t>または「水質A」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に該当していました。</w:t>
      </w:r>
    </w:p>
    <w:p w:rsidR="00FC739E" w:rsidRPr="001C183B" w:rsidRDefault="00FC739E" w:rsidP="0002325D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また、腸管出血性大腸菌</w:t>
      </w:r>
      <w:r w:rsidRPr="002C0770">
        <w:rPr>
          <w:rFonts w:ascii="ＭＳ 明朝" w:hAnsi="ＭＳ 明朝" w:cs="ＭＳ 明朝"/>
          <w:color w:val="000000"/>
          <w:kern w:val="0"/>
          <w:szCs w:val="21"/>
        </w:rPr>
        <w:t>O-157</w:t>
      </w:r>
      <w:r w:rsidRPr="002C0770">
        <w:rPr>
          <w:rFonts w:ascii="ＭＳ 明朝" w:hAnsi="ＭＳ 明朝" w:cs="ＭＳ 明朝" w:hint="eastAsia"/>
          <w:color w:val="000000"/>
          <w:kern w:val="0"/>
          <w:szCs w:val="21"/>
        </w:rPr>
        <w:t>は、いずれの海水浴場からも検出されませんでした。</w:t>
      </w:r>
    </w:p>
    <w:p w:rsidR="00BA6870" w:rsidRDefault="00C31A5A" w:rsidP="0002325D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</w:t>
      </w:r>
      <w:r w:rsidR="006E725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5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月</w:t>
      </w:r>
      <w:r w:rsidR="00EB2661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末</w:t>
      </w:r>
      <w:r w:rsidR="00430D04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時点</w:t>
      </w:r>
      <w:r w:rsidR="005D43CC" w:rsidRPr="0042628C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</w:t>
      </w:r>
      <w:r w:rsidR="00492D3B">
        <w:rPr>
          <w:rFonts w:ascii="ＭＳ 明朝" w:hAnsi="ＭＳ 明朝" w:cs="ＭＳ 明朝" w:hint="eastAsia"/>
          <w:color w:val="000000"/>
          <w:kern w:val="0"/>
          <w:szCs w:val="21"/>
        </w:rPr>
        <w:t>開設予定</w:t>
      </w:r>
      <w:r w:rsidR="00796390">
        <w:rPr>
          <w:rFonts w:ascii="ＭＳ 明朝" w:hAnsi="ＭＳ 明朝" w:cs="ＭＳ 明朝" w:hint="eastAsia"/>
          <w:color w:val="000000"/>
          <w:kern w:val="0"/>
          <w:szCs w:val="21"/>
        </w:rPr>
        <w:t>又は開設未定であった海水浴場の</w:t>
      </w:r>
      <w:r w:rsidR="005D43CC">
        <w:rPr>
          <w:rFonts w:ascii="ＭＳ 明朝" w:hAnsi="ＭＳ 明朝" w:cs="ＭＳ 明朝" w:hint="eastAsia"/>
          <w:color w:val="000000"/>
          <w:kern w:val="0"/>
          <w:szCs w:val="21"/>
        </w:rPr>
        <w:t>水質調査を実施しています</w:t>
      </w:r>
      <w:r w:rsidR="002721C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5D43CC" w:rsidRDefault="00BA6870" w:rsidP="00BA6870">
      <w:pPr>
        <w:suppressAutoHyphens/>
        <w:spacing w:line="260" w:lineRule="exact"/>
        <w:ind w:left="194" w:firstLineChars="100" w:firstLine="1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なお、昨年度は、白兎海水浴場は新型コロナウイルス感染症防止のため、開設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していません。</w:t>
      </w:r>
      <w:r w:rsidR="00C31A5A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992"/>
        <w:gridCol w:w="426"/>
        <w:gridCol w:w="1275"/>
        <w:gridCol w:w="426"/>
        <w:gridCol w:w="992"/>
        <w:gridCol w:w="567"/>
        <w:gridCol w:w="1134"/>
        <w:gridCol w:w="850"/>
        <w:gridCol w:w="851"/>
      </w:tblGrid>
      <w:tr w:rsidR="00430D04" w:rsidRPr="00C53B1D" w:rsidTr="0002325D">
        <w:trPr>
          <w:trHeight w:val="353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担当部署</w:t>
            </w:r>
          </w:p>
        </w:tc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海水浴場名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採水日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地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数</w:t>
            </w:r>
          </w:p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項目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  <w:tc>
          <w:tcPr>
            <w:tcW w:w="851" w:type="dxa"/>
            <w:vMerge w:val="restart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昨年の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判定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結果</w:t>
            </w:r>
          </w:p>
        </w:tc>
      </w:tr>
      <w:tr w:rsidR="00430D04" w:rsidRPr="00C53B1D" w:rsidTr="0002325D">
        <w:trPr>
          <w:trHeight w:val="1059"/>
        </w:trPr>
        <w:tc>
          <w:tcPr>
            <w:tcW w:w="562" w:type="dxa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</w:tcPr>
          <w:p w:rsidR="00430D04" w:rsidRPr="00C53B1D" w:rsidRDefault="00430D04" w:rsidP="002721C7">
            <w:pPr>
              <w:suppressAutoHyphens/>
              <w:wordWrap w:val="0"/>
              <w:ind w:left="113" w:right="113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ふん便性</w:t>
            </w:r>
          </w:p>
          <w:p w:rsidR="00430D04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大腸菌群数</w:t>
            </w:r>
          </w:p>
          <w:p w:rsidR="00430D04" w:rsidRPr="00C53B1D" w:rsidRDefault="00CF0039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="00430D04" w:rsidRPr="00C53B1D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個/100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L）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膜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  <w:p w:rsidR="00430D04" w:rsidRPr="00C53B1D" w:rsidRDefault="00CF0039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(</w:t>
            </w:r>
            <w:r w:rsidR="00430D04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L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明</w:t>
            </w:r>
          </w:p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腸管出血性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大腸菌</w:t>
            </w:r>
          </w:p>
          <w:p w:rsidR="00430D04" w:rsidRPr="00C53B1D" w:rsidRDefault="00430D04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O-157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30D04" w:rsidRPr="00C53B1D" w:rsidRDefault="00430D04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CF0039" w:rsidRPr="00C53B1D" w:rsidTr="0002325D">
        <w:trPr>
          <w:trHeight w:val="386"/>
        </w:trPr>
        <w:tc>
          <w:tcPr>
            <w:tcW w:w="562" w:type="dxa"/>
            <w:vMerge w:val="restart"/>
            <w:tcBorders>
              <w:right w:val="double" w:sz="4" w:space="0" w:color="auto"/>
            </w:tcBorders>
            <w:textDirection w:val="tbRlV"/>
          </w:tcPr>
          <w:p w:rsidR="00CF0039" w:rsidRPr="004F375B" w:rsidRDefault="00CF0039" w:rsidP="00C16ED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鳥取市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CF0039" w:rsidRPr="004F375B" w:rsidRDefault="00CF0039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東浜</w:t>
            </w:r>
            <w:r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F0039" w:rsidRPr="00C53B1D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F0039" w:rsidRDefault="00CF0039" w:rsidP="00F96E7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F0039" w:rsidRPr="00C53B1D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F0039" w:rsidRPr="004F375B" w:rsidRDefault="00CF0039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CF0039" w:rsidRPr="004F375B" w:rsidRDefault="00CF0039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牧谷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F0039" w:rsidRPr="00C53B1D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F0039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F0039" w:rsidRPr="00C53B1D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F0039" w:rsidRPr="004F375B" w:rsidRDefault="00CF0039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CF0039" w:rsidRPr="004F375B" w:rsidRDefault="00CF0039" w:rsidP="00C16ED3">
            <w:pPr>
              <w:rPr>
                <w:sz w:val="18"/>
                <w:szCs w:val="18"/>
              </w:rPr>
            </w:pPr>
            <w:r w:rsidRPr="004F375B">
              <w:rPr>
                <w:rFonts w:hint="eastAsia"/>
                <w:sz w:val="18"/>
                <w:szCs w:val="18"/>
              </w:rPr>
              <w:t>浦富</w:t>
            </w:r>
            <w:r w:rsidRPr="00122779">
              <w:rPr>
                <w:rFonts w:hint="eastAsia"/>
                <w:sz w:val="18"/>
                <w:szCs w:val="18"/>
              </w:rPr>
              <w:t>（岩美町）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5D43CC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F0039" w:rsidRPr="00C53B1D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F0039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F0039" w:rsidRPr="00C53B1D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F0039" w:rsidRPr="004F375B" w:rsidRDefault="00CF0039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CF0039" w:rsidRPr="004F375B" w:rsidRDefault="00CF0039" w:rsidP="00C16ED3">
            <w:pPr>
              <w:rPr>
                <w:sz w:val="18"/>
                <w:szCs w:val="18"/>
              </w:rPr>
            </w:pPr>
            <w:r w:rsidRPr="00CF0039">
              <w:rPr>
                <w:rFonts w:hint="eastAsia"/>
                <w:sz w:val="18"/>
                <w:szCs w:val="18"/>
              </w:rPr>
              <w:t>賀露みなと（鳥取市）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F0039" w:rsidRPr="00C53B1D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F0039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CF0039" w:rsidP="009C4DB5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CF0039" w:rsidRPr="00C53B1D" w:rsidTr="0002325D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F0039" w:rsidRPr="004F375B" w:rsidRDefault="00CF0039" w:rsidP="00C16ED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CF0039" w:rsidRPr="004F375B" w:rsidRDefault="00CF0039" w:rsidP="00C16E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白兎（鳥取市）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426" w:type="dxa"/>
            <w:shd w:val="clear" w:color="auto" w:fill="auto"/>
          </w:tcPr>
          <w:p w:rsidR="00CF0039" w:rsidRDefault="00CF0039" w:rsidP="00C16ED3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992" w:type="dxa"/>
            <w:shd w:val="clear" w:color="auto" w:fill="auto"/>
          </w:tcPr>
          <w:p w:rsidR="00CF0039" w:rsidRDefault="00CF0039" w:rsidP="00C16ED3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C16ED3">
            <w:pPr>
              <w:jc w:val="center"/>
            </w:pPr>
            <w:r w:rsidRPr="00CB7BBC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C16ED3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835448" w:rsidP="00835448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-</w:t>
            </w:r>
          </w:p>
        </w:tc>
      </w:tr>
      <w:tr w:rsidR="00CF0039" w:rsidRPr="00C53B1D" w:rsidTr="00FB5BE9">
        <w:trPr>
          <w:trHeight w:val="386"/>
        </w:trPr>
        <w:tc>
          <w:tcPr>
            <w:tcW w:w="562" w:type="dxa"/>
            <w:vMerge/>
            <w:tcBorders>
              <w:right w:val="double" w:sz="4" w:space="0" w:color="auto"/>
            </w:tcBorders>
            <w:textDirection w:val="tbRlV"/>
          </w:tcPr>
          <w:p w:rsidR="00CF0039" w:rsidRDefault="00CF0039" w:rsidP="0087166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0039" w:rsidRPr="005D43CC" w:rsidRDefault="00CF0039" w:rsidP="008716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小沢見（鳥取市）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F0039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5/15,5/16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Default="00CF003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72058C" w:rsidRDefault="00CF003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68084E" w:rsidRDefault="00CF0039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039" w:rsidRPr="00C53B1D" w:rsidRDefault="00CF0039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039" w:rsidRPr="00C53B1D" w:rsidRDefault="00CF0039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87166D" w:rsidRPr="00C53B1D" w:rsidTr="0002325D">
        <w:trPr>
          <w:trHeight w:val="3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87166D" w:rsidRPr="005D43CC" w:rsidRDefault="0087166D" w:rsidP="0087166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鳥取県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ハワイ（湯梨浜町）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5D43CC" w:rsidRDefault="0002325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612F2E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CF0039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</w:t>
            </w:r>
            <w:r w:rsidR="009D4877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A</w:t>
            </w: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）</w:t>
            </w:r>
          </w:p>
        </w:tc>
      </w:tr>
      <w:tr w:rsidR="003C35B9" w:rsidRPr="00C53B1D" w:rsidTr="0002325D">
        <w:trPr>
          <w:trHeight w:val="3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</w:tcPr>
          <w:p w:rsidR="003C35B9" w:rsidRDefault="003C35B9" w:rsidP="0087166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C35B9" w:rsidRPr="005D43CC" w:rsidRDefault="0002325D" w:rsidP="008716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うの</w:t>
            </w:r>
            <w:r w:rsidR="009C4DB5">
              <w:rPr>
                <w:rFonts w:hint="eastAsia"/>
                <w:sz w:val="18"/>
                <w:szCs w:val="18"/>
              </w:rPr>
              <w:t>（湯梨浜町）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Default="0002325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5/17</w:t>
            </w:r>
            <w:r w:rsidR="009C4DB5" w:rsidRPr="009C4DB5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,5/18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Default="009C4DB5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72058C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72058C" w:rsidRDefault="0068084E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84E" w:rsidRDefault="005762E5" w:rsidP="0068084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</w:t>
            </w:r>
            <w:r w:rsidR="00612F2E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5B9" w:rsidRPr="00C53B1D" w:rsidRDefault="009C4DB5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B9" w:rsidRPr="00C53B1D" w:rsidRDefault="009C4DB5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  <w:tr w:rsidR="0087166D" w:rsidRPr="00C53B1D" w:rsidTr="0002325D">
        <w:trPr>
          <w:trHeight w:val="38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166D" w:rsidRPr="005D43CC" w:rsidRDefault="0087166D" w:rsidP="0087166D">
            <w:pPr>
              <w:rPr>
                <w:sz w:val="18"/>
                <w:szCs w:val="18"/>
              </w:rPr>
            </w:pPr>
            <w:r w:rsidRPr="005D43CC">
              <w:rPr>
                <w:rFonts w:hint="eastAsia"/>
                <w:sz w:val="18"/>
                <w:szCs w:val="18"/>
              </w:rPr>
              <w:t>皆生温泉</w:t>
            </w:r>
            <w:r w:rsidR="0002325D">
              <w:rPr>
                <w:rFonts w:hint="eastAsia"/>
                <w:sz w:val="18"/>
                <w:szCs w:val="18"/>
              </w:rPr>
              <w:t>海遊ビーチ</w:t>
            </w:r>
            <w:r w:rsidRPr="005D43CC">
              <w:rPr>
                <w:rFonts w:hint="eastAsia"/>
                <w:sz w:val="18"/>
                <w:szCs w:val="18"/>
              </w:rPr>
              <w:t>（米子市）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5D43CC" w:rsidRDefault="0002325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5/1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7</w:t>
            </w:r>
            <w:r w:rsidR="006278C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,5/1</w:t>
            </w:r>
            <w:r w:rsidR="006278CD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不検出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72058C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Cs w:val="18"/>
              </w:rPr>
            </w:pPr>
            <w:r w:rsidRPr="0072058C">
              <w:rPr>
                <w:rFonts w:ascii="ＭＳ 明朝" w:hAnsi="ＭＳ 明朝" w:hint="eastAsia"/>
                <w:color w:val="000000"/>
                <w:spacing w:val="2"/>
                <w:kern w:val="0"/>
                <w:szCs w:val="18"/>
              </w:rPr>
              <w:t>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5762E5" w:rsidP="0087166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1.6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不検出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6D" w:rsidRPr="00C53B1D" w:rsidRDefault="0087166D" w:rsidP="0087166D">
            <w:pP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C53B1D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適（AA）</w:t>
            </w:r>
          </w:p>
        </w:tc>
      </w:tr>
    </w:tbl>
    <w:p w:rsidR="00FC739E" w:rsidRPr="004F375B" w:rsidRDefault="00FC739E" w:rsidP="00330424">
      <w:pPr>
        <w:spacing w:line="260" w:lineRule="exact"/>
        <w:rPr>
          <w:rFonts w:ascii="ＭＳ 明朝" w:hAnsi="ＭＳ 明朝" w:cs="ＭＳ ゴシック"/>
          <w:color w:val="000000"/>
          <w:kern w:val="0"/>
          <w:sz w:val="18"/>
          <w:szCs w:val="18"/>
        </w:rPr>
      </w:pP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[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注</w:t>
      </w:r>
      <w:r w:rsidRPr="004F375B">
        <w:rPr>
          <w:rFonts w:ascii="ＭＳ 明朝" w:hAnsi="ＭＳ 明朝" w:cs="ＭＳ 明朝"/>
          <w:color w:val="000000"/>
          <w:kern w:val="0"/>
          <w:sz w:val="18"/>
          <w:szCs w:val="18"/>
        </w:rPr>
        <w:t>]</w:t>
      </w:r>
      <w:r w:rsidRPr="004F375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：1</w:t>
      </w:r>
      <w:r w:rsidR="00D016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）COD</w:t>
      </w:r>
      <w:r w:rsidRPr="004F3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>とは、Chemical Oxygen Demandの略で化学的酸素要求量のことをいう。</w:t>
      </w:r>
    </w:p>
    <w:p w:rsidR="00FC739E" w:rsidRPr="004F375B" w:rsidRDefault="00FC739E" w:rsidP="00FB220B">
      <w:pPr>
        <w:suppressAutoHyphens/>
        <w:wordWrap w:val="0"/>
        <w:spacing w:line="260" w:lineRule="exact"/>
        <w:ind w:firstLineChars="300" w:firstLine="48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2）ふん便性大腸菌群数及びCODの値は測定値の平均値であり、「不検出」とは平均値が検出下限未満のことをいう。</w:t>
      </w:r>
    </w:p>
    <w:p w:rsidR="00FC739E" w:rsidRDefault="00FC739E" w:rsidP="00FB220B">
      <w:pPr>
        <w:suppressAutoHyphens/>
        <w:wordWrap w:val="0"/>
        <w:spacing w:line="260" w:lineRule="exact"/>
        <w:ind w:leftChars="250" w:left="877" w:hangingChars="250" w:hanging="401"/>
        <w:jc w:val="left"/>
        <w:textAlignment w:val="baseline"/>
        <w:rPr>
          <w:rFonts w:ascii="ＭＳ 明朝" w:hAnsi="ＭＳ 明朝"/>
          <w:sz w:val="18"/>
          <w:szCs w:val="18"/>
        </w:rPr>
      </w:pPr>
      <w:r w:rsidRPr="004F375B">
        <w:rPr>
          <w:rFonts w:ascii="ＭＳ 明朝" w:hAnsi="ＭＳ 明朝" w:hint="eastAsia"/>
          <w:sz w:val="18"/>
          <w:szCs w:val="18"/>
        </w:rPr>
        <w:t>3</w:t>
      </w:r>
      <w:r w:rsidR="00CF0039">
        <w:rPr>
          <w:rFonts w:ascii="ＭＳ 明朝" w:hAnsi="ＭＳ 明朝" w:hint="eastAsia"/>
          <w:sz w:val="18"/>
          <w:szCs w:val="18"/>
        </w:rPr>
        <w:t>）透明度の「全透」とは透明度1</w:t>
      </w:r>
      <w:r w:rsidRPr="004F375B">
        <w:rPr>
          <w:rFonts w:ascii="ＭＳ 明朝" w:hAnsi="ＭＳ 明朝" w:hint="eastAsia"/>
          <w:sz w:val="18"/>
          <w:szCs w:val="18"/>
        </w:rPr>
        <w:t>メートル以上のことをいう。</w:t>
      </w:r>
    </w:p>
    <w:p w:rsidR="009057FA" w:rsidRPr="002C0770" w:rsidRDefault="009057FA" w:rsidP="00330424">
      <w:pPr>
        <w:suppressAutoHyphens/>
        <w:wordWrap w:val="0"/>
        <w:spacing w:line="260" w:lineRule="exact"/>
        <w:ind w:leftChars="200" w:left="952" w:hangingChars="300" w:hanging="571"/>
        <w:jc w:val="left"/>
        <w:textAlignment w:val="baseline"/>
        <w:rPr>
          <w:rFonts w:ascii="ＭＳ 明朝" w:hAnsi="ＭＳ 明朝"/>
          <w:szCs w:val="21"/>
        </w:rPr>
      </w:pPr>
    </w:p>
    <w:p w:rsidR="00FC739E" w:rsidRPr="002C0770" w:rsidRDefault="00632CAF" w:rsidP="0033042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２　環境省の定める</w:t>
      </w:r>
      <w:r w:rsidR="00CA365D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海</w:t>
      </w:r>
      <w:r w:rsidR="00FC739E" w:rsidRPr="002C0770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水浴場水質判定基準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948"/>
        <w:gridCol w:w="3402"/>
        <w:gridCol w:w="2103"/>
        <w:gridCol w:w="1329"/>
        <w:gridCol w:w="2238"/>
      </w:tblGrid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</w:rPr>
              <w:t>判定区分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ふん便性大腸菌群数</w:t>
            </w:r>
          </w:p>
        </w:tc>
        <w:tc>
          <w:tcPr>
            <w:tcW w:w="2103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</w:t>
            </w: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COD</w:t>
            </w:r>
          </w:p>
        </w:tc>
        <w:tc>
          <w:tcPr>
            <w:tcW w:w="2238" w:type="dxa"/>
            <w:tcBorders>
              <w:bottom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透明度</w:t>
            </w:r>
          </w:p>
        </w:tc>
      </w:tr>
      <w:tr w:rsidR="00FC739E" w:rsidRPr="004F375B" w:rsidTr="00C0601A">
        <w:trPr>
          <w:trHeight w:val="237"/>
        </w:trPr>
        <w:tc>
          <w:tcPr>
            <w:tcW w:w="4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適</w:t>
            </w:r>
          </w:p>
        </w:tc>
        <w:tc>
          <w:tcPr>
            <w:tcW w:w="94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C739E" w:rsidRPr="004F375B" w:rsidRDefault="00FC739E" w:rsidP="009277C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不検出（検出</w:t>
            </w:r>
            <w:r w:rsidR="009277CE"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下限</w:t>
            </w:r>
            <w:r w:rsidR="00CF00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2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個/</w:t>
            </w:r>
            <w:r w:rsidR="00CF003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="00CF003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00mL</w:t>
            </w:r>
            <w:r w:rsidRPr="004F375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103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油膜が認められない</w:t>
            </w: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auto"/>
          </w:tcPr>
          <w:p w:rsidR="00632CAF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2mg/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以上）</w:t>
            </w:r>
          </w:p>
        </w:tc>
      </w:tr>
      <w:tr w:rsidR="00FC739E" w:rsidRPr="004F375B" w:rsidTr="00C0601A">
        <w:trPr>
          <w:trHeight w:val="225"/>
        </w:trPr>
        <w:tc>
          <w:tcPr>
            <w:tcW w:w="465" w:type="dxa"/>
            <w:vMerge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水質A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 xml:space="preserve">油膜が認められない　</w:t>
            </w:r>
          </w:p>
        </w:tc>
        <w:tc>
          <w:tcPr>
            <w:tcW w:w="1329" w:type="dxa"/>
            <w:shd w:val="clear" w:color="auto" w:fill="auto"/>
          </w:tcPr>
          <w:p w:rsidR="00632CAF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2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全透</w:t>
            </w:r>
            <w:r w:rsidR="00632CAF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（</w:t>
            </w:r>
            <w:r w:rsidR="00C31A5A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="00C31A5A"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以上）</w:t>
            </w:r>
          </w:p>
        </w:tc>
      </w:tr>
      <w:tr w:rsidR="00FC739E" w:rsidRPr="004F375B" w:rsidTr="00C0601A">
        <w:tc>
          <w:tcPr>
            <w:tcW w:w="465" w:type="dxa"/>
            <w:vMerge w:val="restart"/>
            <w:shd w:val="clear" w:color="auto" w:fill="auto"/>
            <w:vAlign w:val="center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可</w:t>
            </w: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水質B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5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～50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:rsidTr="00C0601A">
        <w:tc>
          <w:tcPr>
            <w:tcW w:w="465" w:type="dxa"/>
            <w:vMerge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948" w:type="dxa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水質C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以下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常時は油膜が認められない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mg/L以下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～5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以上</w:t>
            </w:r>
          </w:p>
        </w:tc>
      </w:tr>
      <w:tr w:rsidR="00FC739E" w:rsidRPr="004F375B" w:rsidTr="00C0601A">
        <w:tc>
          <w:tcPr>
            <w:tcW w:w="1413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不適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,000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個/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00mL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を超えるもの</w:t>
            </w:r>
          </w:p>
        </w:tc>
        <w:tc>
          <w:tcPr>
            <w:tcW w:w="2103" w:type="dxa"/>
            <w:shd w:val="clear" w:color="auto" w:fill="auto"/>
          </w:tcPr>
          <w:p w:rsidR="00FC739E" w:rsidRPr="004F375B" w:rsidRDefault="00FC739E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常時油膜が認められる</w:t>
            </w:r>
          </w:p>
        </w:tc>
        <w:tc>
          <w:tcPr>
            <w:tcW w:w="1329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8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mg/L超</w:t>
            </w:r>
          </w:p>
        </w:tc>
        <w:tc>
          <w:tcPr>
            <w:tcW w:w="2238" w:type="dxa"/>
            <w:shd w:val="clear" w:color="auto" w:fill="auto"/>
          </w:tcPr>
          <w:p w:rsidR="00FC739E" w:rsidRPr="004F375B" w:rsidRDefault="00C31A5A" w:rsidP="0033042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  <w:t>0cm</w:t>
            </w:r>
            <w:r w:rsidR="00FC739E" w:rsidRPr="004F375B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</w:rPr>
              <w:t>未満</w:t>
            </w:r>
          </w:p>
        </w:tc>
      </w:tr>
    </w:tbl>
    <w:p w:rsidR="00FC739E" w:rsidRPr="004F375B" w:rsidRDefault="00FC739E" w:rsidP="00330424">
      <w:pPr>
        <w:rPr>
          <w:sz w:val="18"/>
          <w:szCs w:val="18"/>
        </w:rPr>
      </w:pPr>
    </w:p>
    <w:sectPr w:rsidR="00FC739E" w:rsidRPr="004F375B" w:rsidSect="00C0601A">
      <w:pgSz w:w="11906" w:h="16838" w:code="9"/>
      <w:pgMar w:top="720" w:right="720" w:bottom="720" w:left="720" w:header="851" w:footer="992" w:gutter="0"/>
      <w:cols w:space="425"/>
      <w:docGrid w:type="linesAndChars" w:linePitch="334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97" w:rsidRDefault="00294197" w:rsidP="005E23B4">
      <w:r>
        <w:separator/>
      </w:r>
    </w:p>
  </w:endnote>
  <w:endnote w:type="continuationSeparator" w:id="0">
    <w:p w:rsidR="00294197" w:rsidRDefault="00294197" w:rsidP="005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97" w:rsidRDefault="00294197" w:rsidP="005E23B4">
      <w:r>
        <w:separator/>
      </w:r>
    </w:p>
  </w:footnote>
  <w:footnote w:type="continuationSeparator" w:id="0">
    <w:p w:rsidR="00294197" w:rsidRDefault="00294197" w:rsidP="005E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1D"/>
    <w:rsid w:val="0002325D"/>
    <w:rsid w:val="0002529C"/>
    <w:rsid w:val="00052DC1"/>
    <w:rsid w:val="000B72E7"/>
    <w:rsid w:val="00122779"/>
    <w:rsid w:val="001C183B"/>
    <w:rsid w:val="001F177C"/>
    <w:rsid w:val="00220B1E"/>
    <w:rsid w:val="002721C7"/>
    <w:rsid w:val="00284D63"/>
    <w:rsid w:val="00294197"/>
    <w:rsid w:val="002F5FC3"/>
    <w:rsid w:val="003A3099"/>
    <w:rsid w:val="003C35B9"/>
    <w:rsid w:val="003D1D61"/>
    <w:rsid w:val="003D38CF"/>
    <w:rsid w:val="0042628C"/>
    <w:rsid w:val="00430D04"/>
    <w:rsid w:val="0048456A"/>
    <w:rsid w:val="00492D3B"/>
    <w:rsid w:val="004C4D90"/>
    <w:rsid w:val="004D2133"/>
    <w:rsid w:val="004F375B"/>
    <w:rsid w:val="005762E5"/>
    <w:rsid w:val="005D43CC"/>
    <w:rsid w:val="005E23B4"/>
    <w:rsid w:val="005F2E1C"/>
    <w:rsid w:val="00612F2E"/>
    <w:rsid w:val="006278CD"/>
    <w:rsid w:val="00632CAF"/>
    <w:rsid w:val="0068084E"/>
    <w:rsid w:val="006E725F"/>
    <w:rsid w:val="0071376B"/>
    <w:rsid w:val="0072058C"/>
    <w:rsid w:val="00796390"/>
    <w:rsid w:val="007B127E"/>
    <w:rsid w:val="0081541B"/>
    <w:rsid w:val="00817A8B"/>
    <w:rsid w:val="0082671D"/>
    <w:rsid w:val="00835448"/>
    <w:rsid w:val="0087166D"/>
    <w:rsid w:val="0088532A"/>
    <w:rsid w:val="009057FA"/>
    <w:rsid w:val="009277CE"/>
    <w:rsid w:val="00995F3E"/>
    <w:rsid w:val="009C4DB5"/>
    <w:rsid w:val="009D4877"/>
    <w:rsid w:val="00A14171"/>
    <w:rsid w:val="00A333E1"/>
    <w:rsid w:val="00A627B0"/>
    <w:rsid w:val="00B530F1"/>
    <w:rsid w:val="00B62CAF"/>
    <w:rsid w:val="00B6409C"/>
    <w:rsid w:val="00B7714D"/>
    <w:rsid w:val="00B95EC5"/>
    <w:rsid w:val="00BA603A"/>
    <w:rsid w:val="00BA6870"/>
    <w:rsid w:val="00C0601A"/>
    <w:rsid w:val="00C16ED3"/>
    <w:rsid w:val="00C31A5A"/>
    <w:rsid w:val="00C359DA"/>
    <w:rsid w:val="00C53B1D"/>
    <w:rsid w:val="00C82DEA"/>
    <w:rsid w:val="00C8525A"/>
    <w:rsid w:val="00CA365D"/>
    <w:rsid w:val="00CF0039"/>
    <w:rsid w:val="00D0166A"/>
    <w:rsid w:val="00D648D7"/>
    <w:rsid w:val="00D7329B"/>
    <w:rsid w:val="00D77E33"/>
    <w:rsid w:val="00DC6F93"/>
    <w:rsid w:val="00E17FBA"/>
    <w:rsid w:val="00E8597E"/>
    <w:rsid w:val="00EA0331"/>
    <w:rsid w:val="00EB2661"/>
    <w:rsid w:val="00EF0D2C"/>
    <w:rsid w:val="00F051AB"/>
    <w:rsid w:val="00F96E74"/>
    <w:rsid w:val="00FB220B"/>
    <w:rsid w:val="00FC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AD4818"/>
  <w15:docId w15:val="{DEEC0177-4C2A-4BB2-B4C9-9AFA8F4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2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2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C0C5-B8A5-4C3D-8E73-8441DCAA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14</cp:revision>
  <cp:lastPrinted>2021-05-18T10:13:00Z</cp:lastPrinted>
  <dcterms:created xsi:type="dcterms:W3CDTF">2021-05-27T02:15:00Z</dcterms:created>
  <dcterms:modified xsi:type="dcterms:W3CDTF">2023-05-31T10:24:00Z</dcterms:modified>
</cp:coreProperties>
</file>